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F7F" w:rsidRDefault="00621FB2">
      <w:r w:rsidRPr="00621FB2">
        <w:t>No entanto, o texto carece de uniformização do padrão de citação</w:t>
      </w:r>
      <w:r w:rsidRPr="00621FB2">
        <w:br/>
        <w:t>escolhido e de referência a textos latinos a serem comentados e/ou</w:t>
      </w:r>
      <w:r w:rsidRPr="00621FB2">
        <w:br/>
        <w:t>traduzidos, de modo a evitar passagens obscuras e referências confusas.</w:t>
      </w:r>
      <w:r w:rsidRPr="00621FB2">
        <w:br/>
        <w:t>Causou também estranhamento o fato de o autor inserir uma nota de rodapé</w:t>
      </w:r>
      <w:r w:rsidRPr="00621FB2">
        <w:br/>
        <w:t>interna a outra nota de rodapé (notas 10 e 11).</w:t>
      </w:r>
    </w:p>
    <w:p w:rsidR="00943599" w:rsidRDefault="00E36F7F">
      <w:r w:rsidRPr="00E36F7F">
        <w:rPr>
          <w:highlight w:val="cyan"/>
        </w:rPr>
        <w:t xml:space="preserve">O autor crê estar seguindo os padrões de </w:t>
      </w:r>
      <w:r w:rsidRPr="00E36F7F">
        <w:rPr>
          <w:i/>
          <w:highlight w:val="cyan"/>
        </w:rPr>
        <w:t>Aletria</w:t>
      </w:r>
      <w:r w:rsidRPr="00E36F7F">
        <w:rPr>
          <w:highlight w:val="cyan"/>
        </w:rPr>
        <w:t xml:space="preserve"> para citar autores latinos nas notas, por exemplo. Assim, depois do nome de cada autor, seguiu-se nas notas o nome da obra citada e a passagem </w:t>
      </w:r>
      <w:r w:rsidR="00943599">
        <w:rPr>
          <w:highlight w:val="cyan"/>
        </w:rPr>
        <w:t xml:space="preserve">correspondente </w:t>
      </w:r>
      <w:r w:rsidRPr="00E36F7F">
        <w:rPr>
          <w:highlight w:val="cyan"/>
        </w:rPr>
        <w:t xml:space="preserve">da mesma obra, pois, como sabemos, não é </w:t>
      </w:r>
      <w:r w:rsidR="00AA6CAF">
        <w:rPr>
          <w:highlight w:val="cyan"/>
        </w:rPr>
        <w:t>filologicamente viável</w:t>
      </w:r>
      <w:r w:rsidRPr="00E36F7F">
        <w:rPr>
          <w:highlight w:val="cyan"/>
        </w:rPr>
        <w:t xml:space="preserve"> citar </w:t>
      </w:r>
      <w:r>
        <w:rPr>
          <w:highlight w:val="cyan"/>
        </w:rPr>
        <w:t>trechos de textos</w:t>
      </w:r>
      <w:r w:rsidRPr="00E36F7F">
        <w:rPr>
          <w:highlight w:val="cyan"/>
        </w:rPr>
        <w:t xml:space="preserve"> greco-ro</w:t>
      </w:r>
      <w:r>
        <w:rPr>
          <w:highlight w:val="cyan"/>
        </w:rPr>
        <w:t>mano</w:t>
      </w:r>
      <w:r w:rsidRPr="00E36F7F">
        <w:rPr>
          <w:highlight w:val="cyan"/>
        </w:rPr>
        <w:t xml:space="preserve">s pela indicação das páginas da edição seguida. Como tentativa de uniformizar um pouco mais esse aspecto, porém, adotamos </w:t>
      </w:r>
      <w:r>
        <w:rPr>
          <w:highlight w:val="cyan"/>
        </w:rPr>
        <w:t xml:space="preserve">agora </w:t>
      </w:r>
      <w:r w:rsidR="00AA6CAF">
        <w:rPr>
          <w:highlight w:val="cyan"/>
        </w:rPr>
        <w:t xml:space="preserve">o padrão </w:t>
      </w:r>
      <w:r w:rsidR="0019379C">
        <w:rPr>
          <w:highlight w:val="cyan"/>
        </w:rPr>
        <w:t xml:space="preserve">geral </w:t>
      </w:r>
      <w:r w:rsidR="00AA6CAF">
        <w:rPr>
          <w:highlight w:val="cyan"/>
        </w:rPr>
        <w:t>de referenciar</w:t>
      </w:r>
      <w:r w:rsidRPr="00E36F7F">
        <w:rPr>
          <w:highlight w:val="cyan"/>
        </w:rPr>
        <w:t xml:space="preserve"> a </w:t>
      </w:r>
      <w:proofErr w:type="spellStart"/>
      <w:r w:rsidRPr="00E36F7F">
        <w:rPr>
          <w:i/>
          <w:highlight w:val="cyan"/>
        </w:rPr>
        <w:t>Ars</w:t>
      </w:r>
      <w:proofErr w:type="spellEnd"/>
      <w:r w:rsidRPr="00E36F7F">
        <w:rPr>
          <w:i/>
          <w:highlight w:val="cyan"/>
        </w:rPr>
        <w:t xml:space="preserve"> </w:t>
      </w:r>
      <w:proofErr w:type="spellStart"/>
      <w:r w:rsidRPr="00E36F7F">
        <w:rPr>
          <w:i/>
          <w:highlight w:val="cyan"/>
        </w:rPr>
        <w:t>amatoria</w:t>
      </w:r>
      <w:proofErr w:type="spellEnd"/>
      <w:r w:rsidRPr="00E36F7F">
        <w:rPr>
          <w:highlight w:val="cyan"/>
        </w:rPr>
        <w:t xml:space="preserve"> ovidiana como “Arte de amar”</w:t>
      </w:r>
      <w:r w:rsidR="0019379C">
        <w:rPr>
          <w:highlight w:val="cyan"/>
        </w:rPr>
        <w:t xml:space="preserve"> ao fazer </w:t>
      </w:r>
      <w:r w:rsidR="00AA6CAF">
        <w:rPr>
          <w:highlight w:val="cyan"/>
        </w:rPr>
        <w:t>menções a ela</w:t>
      </w:r>
      <w:r w:rsidR="00C60D31">
        <w:rPr>
          <w:highlight w:val="cyan"/>
        </w:rPr>
        <w:t xml:space="preserve"> em pé de página</w:t>
      </w:r>
      <w:r w:rsidRPr="00E36F7F">
        <w:rPr>
          <w:highlight w:val="cyan"/>
        </w:rPr>
        <w:t xml:space="preserve">, já que tínhamos empregado </w:t>
      </w:r>
      <w:r w:rsidR="00DD28B3">
        <w:rPr>
          <w:highlight w:val="cyan"/>
        </w:rPr>
        <w:t xml:space="preserve">nas notas </w:t>
      </w:r>
      <w:r w:rsidRPr="00E36F7F">
        <w:rPr>
          <w:highlight w:val="cyan"/>
        </w:rPr>
        <w:t xml:space="preserve">nomes </w:t>
      </w:r>
      <w:r w:rsidRPr="0019379C">
        <w:rPr>
          <w:highlight w:val="cyan"/>
          <w:u w:val="single"/>
        </w:rPr>
        <w:t>traduzidos para o português</w:t>
      </w:r>
      <w:r w:rsidRPr="00E36F7F">
        <w:rPr>
          <w:highlight w:val="cyan"/>
        </w:rPr>
        <w:t xml:space="preserve"> de textos como as “Elegias” de </w:t>
      </w:r>
      <w:proofErr w:type="spellStart"/>
      <w:r w:rsidRPr="00E36F7F">
        <w:rPr>
          <w:highlight w:val="cyan"/>
        </w:rPr>
        <w:t>Propércio</w:t>
      </w:r>
      <w:proofErr w:type="spellEnd"/>
      <w:r w:rsidR="00AA6CAF">
        <w:rPr>
          <w:highlight w:val="cyan"/>
        </w:rPr>
        <w:t xml:space="preserve"> (e outros)</w:t>
      </w:r>
      <w:r w:rsidRPr="00E36F7F">
        <w:rPr>
          <w:highlight w:val="cyan"/>
        </w:rPr>
        <w:t>.</w:t>
      </w:r>
      <w:r>
        <w:t xml:space="preserve"> </w:t>
      </w:r>
    </w:p>
    <w:p w:rsidR="00E36F7F" w:rsidRDefault="00943599">
      <w:r w:rsidRPr="00943599">
        <w:rPr>
          <w:highlight w:val="cyan"/>
        </w:rPr>
        <w:t>Não compreendemos absolutamente o que se quis dizer com “</w:t>
      </w:r>
      <w:r w:rsidR="00AA6CAF">
        <w:rPr>
          <w:highlight w:val="cyan"/>
        </w:rPr>
        <w:t xml:space="preserve">nota interna </w:t>
      </w:r>
      <w:r w:rsidRPr="00943599">
        <w:rPr>
          <w:highlight w:val="cyan"/>
        </w:rPr>
        <w:t xml:space="preserve">a nota” para as de número 10 e 11; em 10 e </w:t>
      </w:r>
      <w:r w:rsidRPr="00943599">
        <w:rPr>
          <w:i/>
          <w:highlight w:val="cyan"/>
        </w:rPr>
        <w:t>14</w:t>
      </w:r>
      <w:r w:rsidRPr="00943599">
        <w:rPr>
          <w:highlight w:val="cyan"/>
        </w:rPr>
        <w:t xml:space="preserve">, porém, a numeração em algarismos arábicos </w:t>
      </w:r>
      <w:r w:rsidRPr="00943599">
        <w:rPr>
          <w:i/>
          <w:highlight w:val="cyan"/>
        </w:rPr>
        <w:t>interna às notas</w:t>
      </w:r>
      <w:r w:rsidRPr="00943599">
        <w:rPr>
          <w:highlight w:val="cyan"/>
        </w:rPr>
        <w:t xml:space="preserve">, antes de cada citação latina traduzida, visava apenas a permitir enxergar </w:t>
      </w:r>
      <w:r w:rsidR="0019379C">
        <w:rPr>
          <w:highlight w:val="cyan"/>
        </w:rPr>
        <w:t xml:space="preserve">com clareza </w:t>
      </w:r>
      <w:r w:rsidRPr="00943599">
        <w:rPr>
          <w:highlight w:val="cyan"/>
        </w:rPr>
        <w:t>tais citações como pontos, a cada vez, particulares</w:t>
      </w:r>
      <w:r w:rsidR="00AA6CAF">
        <w:rPr>
          <w:highlight w:val="cyan"/>
        </w:rPr>
        <w:t xml:space="preserve"> da “Arte de amar”</w:t>
      </w:r>
      <w:r w:rsidRPr="00943599">
        <w:rPr>
          <w:highlight w:val="cyan"/>
        </w:rPr>
        <w:t xml:space="preserve"> de Ovídio. Contudo, para evitar confusões desses algarismos </w:t>
      </w:r>
      <w:r w:rsidR="00AA6CAF">
        <w:rPr>
          <w:highlight w:val="cyan"/>
        </w:rPr>
        <w:t>arábicos com os de introdução das</w:t>
      </w:r>
      <w:r w:rsidRPr="00943599">
        <w:rPr>
          <w:highlight w:val="cyan"/>
        </w:rPr>
        <w:t xml:space="preserve"> nota</w:t>
      </w:r>
      <w:r w:rsidR="00AA6CAF">
        <w:rPr>
          <w:highlight w:val="cyan"/>
        </w:rPr>
        <w:t>s</w:t>
      </w:r>
      <w:r w:rsidRPr="00943599">
        <w:rPr>
          <w:highlight w:val="cyan"/>
        </w:rPr>
        <w:t xml:space="preserve"> 10 e 14, nós os substituímos agora por uma </w:t>
      </w:r>
      <w:r w:rsidRPr="0019379C">
        <w:rPr>
          <w:highlight w:val="cyan"/>
          <w:u w:val="single"/>
        </w:rPr>
        <w:t>sequência de letras</w:t>
      </w:r>
      <w:r w:rsidRPr="00943599">
        <w:rPr>
          <w:highlight w:val="cyan"/>
        </w:rPr>
        <w:t>, em ordem alfabética.</w:t>
      </w:r>
      <w:r>
        <w:t xml:space="preserve">  </w:t>
      </w:r>
      <w:r w:rsidR="00621FB2" w:rsidRPr="00621FB2">
        <w:br/>
      </w:r>
      <w:r w:rsidR="00621FB2" w:rsidRPr="00621FB2">
        <w:br/>
        <w:t>Alguns trechos apresentam-se incompreensíveis, sugerindo ter havido erro</w:t>
      </w:r>
      <w:r w:rsidR="00621FB2" w:rsidRPr="00621FB2">
        <w:br/>
        <w:t>de digitação e ausência de revisão.</w:t>
      </w:r>
    </w:p>
    <w:p w:rsidR="00D93DCB" w:rsidRDefault="00E36F7F">
      <w:proofErr w:type="gramStart"/>
      <w:r w:rsidRPr="00E36F7F">
        <w:rPr>
          <w:highlight w:val="cyan"/>
        </w:rPr>
        <w:t>Fica</w:t>
      </w:r>
      <w:proofErr w:type="gramEnd"/>
      <w:r w:rsidRPr="00E36F7F">
        <w:rPr>
          <w:highlight w:val="cyan"/>
        </w:rPr>
        <w:t xml:space="preserve"> mais difícil para o autor prever </w:t>
      </w:r>
      <w:r w:rsidR="0019379C">
        <w:rPr>
          <w:highlight w:val="cyan"/>
        </w:rPr>
        <w:t xml:space="preserve">por si </w:t>
      </w:r>
      <w:r w:rsidRPr="00E36F7F">
        <w:rPr>
          <w:highlight w:val="cyan"/>
        </w:rPr>
        <w:t xml:space="preserve">quais seriam esses trechos; no entanto, pequenos ajustes pontuais de redação ocorreram </w:t>
      </w:r>
      <w:r w:rsidR="00AA6CAF">
        <w:rPr>
          <w:highlight w:val="cyan"/>
        </w:rPr>
        <w:t>a</w:t>
      </w:r>
      <w:r w:rsidRPr="00E36F7F">
        <w:rPr>
          <w:highlight w:val="cyan"/>
        </w:rPr>
        <w:t xml:space="preserve">o </w:t>
      </w:r>
      <w:r w:rsidR="00AA6CAF">
        <w:rPr>
          <w:highlight w:val="cyan"/>
        </w:rPr>
        <w:t xml:space="preserve">longo do </w:t>
      </w:r>
      <w:r w:rsidRPr="00E36F7F">
        <w:rPr>
          <w:highlight w:val="cyan"/>
        </w:rPr>
        <w:t>artigo</w:t>
      </w:r>
      <w:r w:rsidR="00AA6CAF">
        <w:rPr>
          <w:highlight w:val="cyan"/>
        </w:rPr>
        <w:t xml:space="preserve"> (todas as mudanças nele foram assinaladas em amarelo)</w:t>
      </w:r>
      <w:r w:rsidRPr="00E36F7F">
        <w:rPr>
          <w:highlight w:val="cyan"/>
        </w:rPr>
        <w:t xml:space="preserve">. De resto, talvez a fase de revisão do artigo, no próprio processo editorial de </w:t>
      </w:r>
      <w:r w:rsidRPr="00E36F7F">
        <w:rPr>
          <w:i/>
          <w:highlight w:val="cyan"/>
        </w:rPr>
        <w:t>Aletria</w:t>
      </w:r>
      <w:r w:rsidRPr="00E36F7F">
        <w:rPr>
          <w:highlight w:val="cyan"/>
        </w:rPr>
        <w:t xml:space="preserve">, possa ajudar a sanar os eventuais problemas linguísticos </w:t>
      </w:r>
      <w:r w:rsidR="00AA6CAF">
        <w:rPr>
          <w:highlight w:val="cyan"/>
        </w:rPr>
        <w:t xml:space="preserve">ainda </w:t>
      </w:r>
      <w:r w:rsidRPr="00E36F7F">
        <w:rPr>
          <w:highlight w:val="cyan"/>
        </w:rPr>
        <w:t>restantes da estruturação.</w:t>
      </w:r>
      <w:r>
        <w:t xml:space="preserve"> </w:t>
      </w:r>
      <w:r w:rsidR="00621FB2" w:rsidRPr="00621FB2">
        <w:br/>
      </w:r>
      <w:r w:rsidR="00621FB2" w:rsidRPr="00621FB2">
        <w:br/>
        <w:t xml:space="preserve">Por fim, destaca-se que a menção à obra </w:t>
      </w:r>
      <w:proofErr w:type="spellStart"/>
      <w:r w:rsidR="00621FB2" w:rsidRPr="00621FB2">
        <w:t>Cynegeticon</w:t>
      </w:r>
      <w:proofErr w:type="spellEnd"/>
      <w:r w:rsidR="00621FB2" w:rsidRPr="00621FB2">
        <w:t xml:space="preserve"> </w:t>
      </w:r>
      <w:r w:rsidR="00943599" w:rsidRPr="00943599">
        <w:rPr>
          <w:highlight w:val="cyan"/>
        </w:rPr>
        <w:t xml:space="preserve">[de </w:t>
      </w:r>
      <w:proofErr w:type="spellStart"/>
      <w:r w:rsidR="00943599" w:rsidRPr="00943599">
        <w:rPr>
          <w:highlight w:val="cyan"/>
        </w:rPr>
        <w:t>Grácio</w:t>
      </w:r>
      <w:proofErr w:type="spellEnd"/>
      <w:r w:rsidR="00943599" w:rsidRPr="00943599">
        <w:rPr>
          <w:highlight w:val="cyan"/>
        </w:rPr>
        <w:t xml:space="preserve"> </w:t>
      </w:r>
      <w:proofErr w:type="spellStart"/>
      <w:r w:rsidR="00943599" w:rsidRPr="00943599">
        <w:rPr>
          <w:highlight w:val="cyan"/>
        </w:rPr>
        <w:t>Falisco</w:t>
      </w:r>
      <w:proofErr w:type="spellEnd"/>
      <w:r w:rsidR="00943599" w:rsidRPr="00943599">
        <w:rPr>
          <w:highlight w:val="cyan"/>
        </w:rPr>
        <w:t>]</w:t>
      </w:r>
      <w:r w:rsidR="00943599">
        <w:t xml:space="preserve"> </w:t>
      </w:r>
      <w:r w:rsidR="00621FB2" w:rsidRPr="00621FB2">
        <w:t>ocorre apenas no</w:t>
      </w:r>
      <w:r w:rsidR="00621FB2" w:rsidRPr="00621FB2">
        <w:br/>
        <w:t>resumo e na conclusão, o que nos leva a sugerir ou sua exclusão do artigo,</w:t>
      </w:r>
      <w:r w:rsidR="00621FB2" w:rsidRPr="00621FB2">
        <w:br/>
        <w:t>ou uma melhor explicitação de sua inclusão na argumentação.</w:t>
      </w:r>
    </w:p>
    <w:p w:rsidR="00943599" w:rsidRDefault="00943599">
      <w:r w:rsidRPr="00943599">
        <w:rPr>
          <w:highlight w:val="cyan"/>
        </w:rPr>
        <w:t>Excluí a menção a essa obra do resumo</w:t>
      </w:r>
      <w:r>
        <w:rPr>
          <w:highlight w:val="cyan"/>
        </w:rPr>
        <w:t xml:space="preserve">, para não gerar expectativas de </w:t>
      </w:r>
      <w:r w:rsidR="00AA6CAF">
        <w:rPr>
          <w:highlight w:val="cyan"/>
        </w:rPr>
        <w:t xml:space="preserve">grande </w:t>
      </w:r>
      <w:r>
        <w:rPr>
          <w:highlight w:val="cyan"/>
        </w:rPr>
        <w:t>desenvolvimento</w:t>
      </w:r>
      <w:r w:rsidR="0019379C">
        <w:rPr>
          <w:highlight w:val="cyan"/>
        </w:rPr>
        <w:t xml:space="preserve"> posterior</w:t>
      </w:r>
      <w:r>
        <w:rPr>
          <w:highlight w:val="cyan"/>
        </w:rPr>
        <w:t>. N</w:t>
      </w:r>
      <w:r w:rsidRPr="00943599">
        <w:rPr>
          <w:highlight w:val="cyan"/>
        </w:rPr>
        <w:t xml:space="preserve">o fim, </w:t>
      </w:r>
      <w:r>
        <w:rPr>
          <w:highlight w:val="cyan"/>
        </w:rPr>
        <w:t xml:space="preserve">ela </w:t>
      </w:r>
      <w:r w:rsidRPr="0019379C">
        <w:rPr>
          <w:highlight w:val="cyan"/>
          <w:u w:val="single"/>
        </w:rPr>
        <w:t>saiu do texto em si</w:t>
      </w:r>
      <w:r>
        <w:rPr>
          <w:highlight w:val="cyan"/>
        </w:rPr>
        <w:t xml:space="preserve">, </w:t>
      </w:r>
      <w:r w:rsidRPr="00943599">
        <w:rPr>
          <w:highlight w:val="cyan"/>
        </w:rPr>
        <w:t xml:space="preserve">mas foi para as notas em uma explicação de Peter </w:t>
      </w:r>
      <w:proofErr w:type="spellStart"/>
      <w:r w:rsidRPr="00943599">
        <w:rPr>
          <w:highlight w:val="cyan"/>
        </w:rPr>
        <w:t>Toohey</w:t>
      </w:r>
      <w:proofErr w:type="spellEnd"/>
      <w:r w:rsidRPr="00943599">
        <w:rPr>
          <w:highlight w:val="cyan"/>
        </w:rPr>
        <w:t xml:space="preserve">, que situa claramente a linguagem desse poema como “pouco figurada”, e em duas passagens do próprio autor </w:t>
      </w:r>
      <w:r w:rsidR="00DD28B3">
        <w:rPr>
          <w:highlight w:val="cyan"/>
        </w:rPr>
        <w:t xml:space="preserve">antigo </w:t>
      </w:r>
      <w:r w:rsidRPr="00943599">
        <w:rPr>
          <w:highlight w:val="cyan"/>
        </w:rPr>
        <w:t>mencionado</w:t>
      </w:r>
      <w:r>
        <w:rPr>
          <w:highlight w:val="cyan"/>
        </w:rPr>
        <w:t xml:space="preserve"> (</w:t>
      </w:r>
      <w:proofErr w:type="spellStart"/>
      <w:r>
        <w:rPr>
          <w:highlight w:val="cyan"/>
        </w:rPr>
        <w:t>Grácio</w:t>
      </w:r>
      <w:proofErr w:type="spellEnd"/>
      <w:r>
        <w:rPr>
          <w:highlight w:val="cyan"/>
        </w:rPr>
        <w:t xml:space="preserve"> </w:t>
      </w:r>
      <w:proofErr w:type="spellStart"/>
      <w:r>
        <w:rPr>
          <w:highlight w:val="cyan"/>
        </w:rPr>
        <w:t>Falisco</w:t>
      </w:r>
      <w:proofErr w:type="spellEnd"/>
      <w:r>
        <w:rPr>
          <w:highlight w:val="cyan"/>
        </w:rPr>
        <w:t>)</w:t>
      </w:r>
      <w:r w:rsidRPr="00943599">
        <w:rPr>
          <w:highlight w:val="cyan"/>
        </w:rPr>
        <w:t xml:space="preserve">, com fins </w:t>
      </w:r>
      <w:bookmarkStart w:id="0" w:name="_GoBack"/>
      <w:bookmarkEnd w:id="0"/>
      <w:r w:rsidRPr="00943599">
        <w:rPr>
          <w:highlight w:val="cyan"/>
        </w:rPr>
        <w:t>exemplificadores desse direcionamento linguístico</w:t>
      </w:r>
      <w:r w:rsidR="00AA6CAF">
        <w:rPr>
          <w:highlight w:val="cyan"/>
        </w:rPr>
        <w:t xml:space="preserve"> em particular</w:t>
      </w:r>
      <w:r w:rsidRPr="00943599">
        <w:rPr>
          <w:highlight w:val="cyan"/>
        </w:rPr>
        <w:t>.</w:t>
      </w:r>
      <w:r>
        <w:t xml:space="preserve"> </w:t>
      </w:r>
    </w:p>
    <w:sectPr w:rsidR="009435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FB2"/>
    <w:rsid w:val="0019379C"/>
    <w:rsid w:val="00621FB2"/>
    <w:rsid w:val="00943599"/>
    <w:rsid w:val="00AA6CAF"/>
    <w:rsid w:val="00C60D31"/>
    <w:rsid w:val="00D93DCB"/>
    <w:rsid w:val="00DD28B3"/>
    <w:rsid w:val="00E3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413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7</cp:revision>
  <dcterms:created xsi:type="dcterms:W3CDTF">2017-10-28T18:23:00Z</dcterms:created>
  <dcterms:modified xsi:type="dcterms:W3CDTF">2017-10-29T12:02:00Z</dcterms:modified>
</cp:coreProperties>
</file>