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A42" w:rsidRDefault="00F4783A">
      <w:pPr>
        <w:spacing w:after="0" w:line="240" w:lineRule="auto"/>
        <w:jc w:val="center"/>
      </w:pPr>
      <w:bookmarkStart w:id="0" w:name="_GoBack"/>
      <w:bookmarkEnd w:id="0"/>
      <w:r>
        <w:rPr>
          <w:rFonts w:ascii="Times New Roman" w:eastAsia="Times New Roman" w:hAnsi="Times New Roman" w:cs="Times New Roman"/>
          <w:b/>
          <w:sz w:val="28"/>
          <w:szCs w:val="28"/>
        </w:rPr>
        <w:t xml:space="preserve">Quilombismo editorial e </w:t>
      </w:r>
      <w:r>
        <w:rPr>
          <w:rFonts w:ascii="Times New Roman" w:eastAsia="Times New Roman" w:hAnsi="Times New Roman" w:cs="Times New Roman"/>
          <w:b/>
          <w:i/>
          <w:sz w:val="28"/>
          <w:szCs w:val="28"/>
        </w:rPr>
        <w:t>ethos</w:t>
      </w:r>
      <w:r>
        <w:rPr>
          <w:rFonts w:ascii="Times New Roman" w:eastAsia="Times New Roman" w:hAnsi="Times New Roman" w:cs="Times New Roman"/>
          <w:b/>
          <w:sz w:val="28"/>
          <w:szCs w:val="28"/>
        </w:rPr>
        <w:t xml:space="preserve"> discursivo: uma análise do site da Mazza edições</w:t>
      </w:r>
    </w:p>
    <w:p w:rsidR="00D67A42" w:rsidRDefault="00D67A42">
      <w:pPr>
        <w:spacing w:after="0" w:line="240" w:lineRule="auto"/>
        <w:jc w:val="center"/>
        <w:rPr>
          <w:rFonts w:ascii="Times New Roman" w:eastAsia="Times New Roman" w:hAnsi="Times New Roman" w:cs="Times New Roman"/>
          <w:sz w:val="28"/>
          <w:szCs w:val="28"/>
        </w:rPr>
      </w:pPr>
    </w:p>
    <w:p w:rsidR="00D67A42" w:rsidRDefault="00F4783A">
      <w:pPr>
        <w:spacing w:after="0" w:line="240" w:lineRule="auto"/>
        <w:jc w:val="center"/>
      </w:pPr>
      <w:bookmarkStart w:id="1" w:name="_gjdgxs" w:colFirst="0" w:colLast="0"/>
      <w:bookmarkEnd w:id="1"/>
      <w:r>
        <w:rPr>
          <w:rFonts w:ascii="Times New Roman" w:eastAsia="Times New Roman" w:hAnsi="Times New Roman" w:cs="Times New Roman"/>
          <w:b/>
          <w:i/>
          <w:sz w:val="28"/>
          <w:szCs w:val="28"/>
        </w:rPr>
        <w:t>“Editorial Quilombism” and Discursive ethos: an analysis of the Mazza  editions website</w:t>
      </w:r>
    </w:p>
    <w:p w:rsidR="00D67A42" w:rsidRDefault="00D67A42">
      <w:pPr>
        <w:spacing w:after="0" w:line="240" w:lineRule="auto"/>
        <w:jc w:val="center"/>
      </w:pPr>
    </w:p>
    <w:p w:rsidR="00D67A42" w:rsidRDefault="00F4783A">
      <w:pPr>
        <w:spacing w:after="0" w:line="240" w:lineRule="auto"/>
        <w:jc w:val="both"/>
      </w:pPr>
      <w:r>
        <w:rPr>
          <w:rFonts w:ascii="Times New Roman" w:eastAsia="Times New Roman" w:hAnsi="Times New Roman" w:cs="Times New Roman"/>
          <w:sz w:val="24"/>
          <w:szCs w:val="24"/>
        </w:rPr>
        <w:t xml:space="preserve">Luiz Henrique Silva de Oliveira </w:t>
      </w:r>
    </w:p>
    <w:p w:rsidR="00D67A42" w:rsidRDefault="00F4783A">
      <w:pPr>
        <w:spacing w:after="0" w:line="240" w:lineRule="auto"/>
        <w:jc w:val="both"/>
      </w:pPr>
      <w:r>
        <w:rPr>
          <w:rFonts w:ascii="Times New Roman" w:eastAsia="Times New Roman" w:hAnsi="Times New Roman" w:cs="Times New Roman"/>
          <w:color w:val="111111"/>
          <w:sz w:val="24"/>
          <w:szCs w:val="24"/>
        </w:rPr>
        <w:t>Centro Federal de Educação Tecnológica de Minas Gerais (CEFET-MG), Minas Gerais/Brasil</w:t>
      </w:r>
    </w:p>
    <w:p w:rsidR="00D67A42" w:rsidRDefault="00F4783A">
      <w:pPr>
        <w:spacing w:after="0" w:line="240" w:lineRule="auto"/>
        <w:jc w:val="both"/>
        <w:rPr>
          <w:rFonts w:ascii="Times New Roman" w:eastAsia="Times New Roman" w:hAnsi="Times New Roman" w:cs="Times New Roman"/>
          <w:sz w:val="24"/>
          <w:szCs w:val="24"/>
        </w:rPr>
      </w:pPr>
      <w:hyperlink r:id="rId6">
        <w:r>
          <w:rPr>
            <w:rFonts w:ascii="Times New Roman" w:eastAsia="Times New Roman" w:hAnsi="Times New Roman" w:cs="Times New Roman"/>
            <w:color w:val="000000"/>
            <w:sz w:val="24"/>
            <w:szCs w:val="24"/>
            <w:u w:val="single"/>
          </w:rPr>
          <w:t>henriqueletras@yahoo.com.br</w:t>
        </w:r>
      </w:hyperlink>
    </w:p>
    <w:p w:rsidR="00D67A42" w:rsidRDefault="00F4783A">
      <w:pPr>
        <w:spacing w:after="0" w:line="240" w:lineRule="auto"/>
        <w:jc w:val="both"/>
      </w:pPr>
      <w:r>
        <w:rPr>
          <w:rFonts w:ascii="Times New Roman" w:eastAsia="Times New Roman" w:hAnsi="Times New Roman" w:cs="Times New Roman"/>
          <w:sz w:val="24"/>
          <w:szCs w:val="24"/>
        </w:rPr>
        <w:t>http://orcid.org/0000-0003-1287-5317</w:t>
      </w: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b/>
          <w:sz w:val="24"/>
          <w:szCs w:val="24"/>
        </w:rPr>
        <w:t>Resumo</w:t>
      </w:r>
      <w:r>
        <w:rPr>
          <w:rFonts w:ascii="Times New Roman" w:eastAsia="Times New Roman" w:hAnsi="Times New Roman" w:cs="Times New Roman"/>
          <w:sz w:val="24"/>
          <w:szCs w:val="24"/>
        </w:rPr>
        <w:t>: A proposta deste artigo é analisar o dis</w:t>
      </w:r>
      <w:r>
        <w:rPr>
          <w:rFonts w:ascii="Times New Roman" w:eastAsia="Times New Roman" w:hAnsi="Times New Roman" w:cs="Times New Roman"/>
          <w:sz w:val="24"/>
          <w:szCs w:val="24"/>
        </w:rPr>
        <w:t>curso de apresentação contido no site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da Mazza Edições (https://www.mazzaedicoes.com.br). Para tanto, tomaremos duas categorias essenciais: o </w:t>
      </w:r>
      <w:r>
        <w:rPr>
          <w:rFonts w:ascii="Times New Roman" w:eastAsia="Times New Roman" w:hAnsi="Times New Roman" w:cs="Times New Roman"/>
          <w:i/>
          <w:sz w:val="24"/>
          <w:szCs w:val="24"/>
        </w:rPr>
        <w:t>quilombismo</w:t>
      </w:r>
      <w:r>
        <w:rPr>
          <w:rFonts w:ascii="Times New Roman" w:eastAsia="Times New Roman" w:hAnsi="Times New Roman" w:cs="Times New Roman"/>
          <w:sz w:val="24"/>
          <w:szCs w:val="24"/>
        </w:rPr>
        <w:t xml:space="preserve"> e o </w:t>
      </w:r>
      <w:r>
        <w:rPr>
          <w:rFonts w:ascii="Times New Roman" w:eastAsia="Times New Roman" w:hAnsi="Times New Roman" w:cs="Times New Roman"/>
          <w:i/>
          <w:sz w:val="24"/>
          <w:szCs w:val="24"/>
        </w:rPr>
        <w:t>ethos discursivo</w:t>
      </w:r>
      <w:r>
        <w:rPr>
          <w:rFonts w:ascii="Times New Roman" w:eastAsia="Times New Roman" w:hAnsi="Times New Roman" w:cs="Times New Roman"/>
          <w:sz w:val="24"/>
          <w:szCs w:val="24"/>
        </w:rPr>
        <w:t>. Os quilombos, segundo Abdias do Nascimento, não se resumiram apenas a arregiment</w:t>
      </w:r>
      <w:r>
        <w:rPr>
          <w:rFonts w:ascii="Times New Roman" w:eastAsia="Times New Roman" w:hAnsi="Times New Roman" w:cs="Times New Roman"/>
          <w:sz w:val="24"/>
          <w:szCs w:val="24"/>
        </w:rPr>
        <w:t xml:space="preserve">ações sociais, constituídas por pessoas escravizadas, em territórios de exploração colonial. A solidariedade e a resistência são características marcantes destes coletivos. Tais características amparam as práticas chamadas por Nascimento de </w:t>
      </w:r>
      <w:r>
        <w:rPr>
          <w:rFonts w:ascii="Times New Roman" w:eastAsia="Times New Roman" w:hAnsi="Times New Roman" w:cs="Times New Roman"/>
          <w:i/>
          <w:sz w:val="24"/>
          <w:szCs w:val="24"/>
        </w:rPr>
        <w:t>quilombismo</w:t>
      </w:r>
      <w:r>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 xml:space="preserve">autor propõe entender o quilombismo como estratégia contemporânea de enfrentamento de diversas ordens promovida pelo coletivo afrodescendente diante das inúmeras formas de discriminação e racismo. O campo editorial, por sua vez, não fica imune às práticas </w:t>
      </w:r>
      <w:r>
        <w:rPr>
          <w:rFonts w:ascii="Times New Roman" w:eastAsia="Times New Roman" w:hAnsi="Times New Roman" w:cs="Times New Roman"/>
          <w:sz w:val="24"/>
          <w:szCs w:val="24"/>
        </w:rPr>
        <w:t xml:space="preserve">excludentes. Vale ressaltar que Oliveira propõe a noção de “quilombos editoriais” para classificar as iniciativas responsáveis por grande parcela da produção e circulação intelectual afro-brasileira. Já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segundo Dominique Maingueneau, é </w:t>
      </w:r>
      <w:r>
        <w:rPr>
          <w:rFonts w:ascii="Times New Roman" w:eastAsia="Times New Roman" w:hAnsi="Times New Roman" w:cs="Times New Roman"/>
          <w:sz w:val="24"/>
          <w:szCs w:val="24"/>
        </w:rPr>
        <w:t>construído em suas múltiplas relações com os outros (sujeitos e discursos) e como eles emergem na articulação entre variados elementos (verbais e não verbais, éticos e estéticos) os quais necessitam da incorporação do interlocutor para apreendê-los em um c</w:t>
      </w:r>
      <w:r>
        <w:rPr>
          <w:rFonts w:ascii="Times New Roman" w:eastAsia="Times New Roman" w:hAnsi="Times New Roman" w:cs="Times New Roman"/>
          <w:sz w:val="24"/>
          <w:szCs w:val="24"/>
        </w:rPr>
        <w:t xml:space="preserve">onjunto complexo de representações sociais e culturais. Acreditamos que a junção entre </w:t>
      </w:r>
      <w:r>
        <w:rPr>
          <w:rFonts w:ascii="Times New Roman" w:eastAsia="Times New Roman" w:hAnsi="Times New Roman" w:cs="Times New Roman"/>
          <w:i/>
          <w:sz w:val="24"/>
          <w:szCs w:val="24"/>
        </w:rPr>
        <w:t>quilombismo</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oferece mecanismos que auxiliam na compreensão do processo de colocação no campo cultural das casas ou quilombos editoriais.</w:t>
      </w:r>
    </w:p>
    <w:p w:rsidR="00D67A42" w:rsidRDefault="00F4783A">
      <w:pPr>
        <w:spacing w:after="0" w:line="240" w:lineRule="auto"/>
        <w:jc w:val="both"/>
      </w:pPr>
      <w:r>
        <w:rPr>
          <w:rFonts w:ascii="Times New Roman" w:eastAsia="Times New Roman" w:hAnsi="Times New Roman" w:cs="Times New Roman"/>
          <w:b/>
          <w:sz w:val="24"/>
          <w:szCs w:val="24"/>
        </w:rPr>
        <w:t>Palavras-chave</w:t>
      </w:r>
      <w:r>
        <w:rPr>
          <w:rFonts w:ascii="Times New Roman" w:eastAsia="Times New Roman" w:hAnsi="Times New Roman" w:cs="Times New Roman"/>
          <w:sz w:val="24"/>
          <w:szCs w:val="24"/>
        </w:rPr>
        <w:t xml:space="preserve">: Mazza edições; quilombismo;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b/>
          <w:sz w:val="24"/>
          <w:szCs w:val="24"/>
        </w:rPr>
        <w:t>Abstract</w:t>
      </w:r>
      <w:r>
        <w:rPr>
          <w:rFonts w:ascii="Times New Roman" w:eastAsia="Times New Roman" w:hAnsi="Times New Roman" w:cs="Times New Roman"/>
          <w:sz w:val="24"/>
          <w:szCs w:val="24"/>
        </w:rPr>
        <w:t xml:space="preserve">: This article analyze the presentation speech contained on the MazzaEdições website (https://www.mazzaedicoes.com.br). We’ll take two essential categories: quilombism and the discursive ethos. The </w:t>
      </w:r>
      <w:r>
        <w:rPr>
          <w:rFonts w:ascii="Times New Roman" w:eastAsia="Times New Roman" w:hAnsi="Times New Roman" w:cs="Times New Roman"/>
          <w:sz w:val="24"/>
          <w:szCs w:val="24"/>
        </w:rPr>
        <w:t>quilombos, according to Abdias do Nascimento, were not just social regimentations, constituted by enslaved people, in territories of colonial exploitation. Solidarity and resistance are hallmarks of these collectives. These characteristics support the prac</w:t>
      </w:r>
      <w:r>
        <w:rPr>
          <w:rFonts w:ascii="Times New Roman" w:eastAsia="Times New Roman" w:hAnsi="Times New Roman" w:cs="Times New Roman"/>
          <w:sz w:val="24"/>
          <w:szCs w:val="24"/>
        </w:rPr>
        <w:t xml:space="preserve">tices called “quilombismo” by Nascimento. This author proposes to understand quilombism as a contemporary strategy for confronting different orders promoted by the Afro-descendant collective in the face of countless forms of discrimination and racism. The </w:t>
      </w:r>
      <w:r>
        <w:rPr>
          <w:rFonts w:ascii="Times New Roman" w:eastAsia="Times New Roman" w:hAnsi="Times New Roman" w:cs="Times New Roman"/>
          <w:sz w:val="24"/>
          <w:szCs w:val="24"/>
        </w:rPr>
        <w:t>editorial field, in turn, is not immune to exclusionary practices. It is noteworthy that Oliveira proposes the notion of “editorial quilombos” to classify the initiatives responsible for a large portion of Afro-Brazilian intellectual production and circula</w:t>
      </w:r>
      <w:r>
        <w:rPr>
          <w:rFonts w:ascii="Times New Roman" w:eastAsia="Times New Roman" w:hAnsi="Times New Roman" w:cs="Times New Roman"/>
          <w:sz w:val="24"/>
          <w:szCs w:val="24"/>
        </w:rPr>
        <w:t>tion. The discursive ethos, according to Dominique Maingueneau, is constructed in its multiple relationships with others (subjects and discourses) and how they emerge in the articulation between various elements (verbal and non-verbal, ethical and aestheti</w:t>
      </w:r>
      <w:r>
        <w:rPr>
          <w:rFonts w:ascii="Times New Roman" w:eastAsia="Times New Roman" w:hAnsi="Times New Roman" w:cs="Times New Roman"/>
          <w:sz w:val="24"/>
          <w:szCs w:val="24"/>
        </w:rPr>
        <w:t>c) which require the incorporation of the interlocutor to apprehend them in a complex set of social and cultural representations. We believe that the junction between quilombism and ethos offers mechanisms that help to understand the process of placing edi</w:t>
      </w:r>
      <w:r>
        <w:rPr>
          <w:rFonts w:ascii="Times New Roman" w:eastAsia="Times New Roman" w:hAnsi="Times New Roman" w:cs="Times New Roman"/>
          <w:sz w:val="24"/>
          <w:szCs w:val="24"/>
        </w:rPr>
        <w:t>torial houses or “quilombos” in the cultural field.</w:t>
      </w:r>
    </w:p>
    <w:p w:rsidR="00D67A42" w:rsidRDefault="00F4783A">
      <w:pPr>
        <w:spacing w:after="0" w:line="240" w:lineRule="auto"/>
        <w:jc w:val="both"/>
      </w:pPr>
      <w:r>
        <w:rPr>
          <w:rFonts w:ascii="Times New Roman" w:eastAsia="Times New Roman" w:hAnsi="Times New Roman" w:cs="Times New Roman"/>
          <w:b/>
          <w:sz w:val="24"/>
          <w:szCs w:val="24"/>
        </w:rPr>
        <w:lastRenderedPageBreak/>
        <w:t>Keywords</w:t>
      </w:r>
      <w:r>
        <w:rPr>
          <w:rFonts w:ascii="Times New Roman" w:eastAsia="Times New Roman" w:hAnsi="Times New Roman" w:cs="Times New Roman"/>
          <w:sz w:val="24"/>
          <w:szCs w:val="24"/>
        </w:rPr>
        <w:t>: Mazza edições; quilombism; discursiveethos.</w:t>
      </w: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b/>
          <w:sz w:val="24"/>
          <w:szCs w:val="24"/>
        </w:rPr>
        <w:t>1. Introdução</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A resistência à aniquilação tem sido a tônica do coletivo negro, desde a chegada em nosso território dos primeiros transplantado</w:t>
      </w:r>
      <w:r>
        <w:rPr>
          <w:rFonts w:ascii="Times New Roman" w:eastAsia="Times New Roman" w:hAnsi="Times New Roman" w:cs="Times New Roman"/>
          <w:sz w:val="24"/>
          <w:szCs w:val="24"/>
        </w:rPr>
        <w:t xml:space="preserve">s até os dias atuais. Em inúmeros momentos, o combate pela vida motivou ações individuais e coletivas. Durante o período escravocrata, por exemplo, parte destas ações foram organizadas por estratégias de inteligência coletiva e exploração das fragilidades </w:t>
      </w:r>
      <w:r>
        <w:rPr>
          <w:rFonts w:ascii="Times New Roman" w:eastAsia="Times New Roman" w:hAnsi="Times New Roman" w:cs="Times New Roman"/>
          <w:sz w:val="24"/>
          <w:szCs w:val="24"/>
        </w:rPr>
        <w:t xml:space="preserve">do colonialismo. Estudiosos do tema </w:t>
      </w:r>
      <w:r>
        <w:t>–</w:t>
      </w:r>
      <w:r>
        <w:rPr>
          <w:rFonts w:ascii="Times New Roman" w:eastAsia="Times New Roman" w:hAnsi="Times New Roman" w:cs="Times New Roman"/>
          <w:sz w:val="24"/>
          <w:szCs w:val="24"/>
        </w:rPr>
        <w:t xml:space="preserve"> desde João José Reis (2003), passando por Sheila de Castro Faria (2007), Marcos Ferreira de Andrade (2008), até chegar a Keila Grinberg, Magno Fonseca Borges e Ricardo Salles (2008)  </w:t>
      </w:r>
      <w:r>
        <w:t xml:space="preserve">– </w:t>
      </w:r>
      <w:r>
        <w:rPr>
          <w:rFonts w:ascii="Times New Roman" w:eastAsia="Times New Roman" w:hAnsi="Times New Roman" w:cs="Times New Roman"/>
          <w:sz w:val="24"/>
          <w:szCs w:val="24"/>
        </w:rPr>
        <w:t>são unânimes em apontar a articul</w:t>
      </w:r>
      <w:r>
        <w:rPr>
          <w:rFonts w:ascii="Times New Roman" w:eastAsia="Times New Roman" w:hAnsi="Times New Roman" w:cs="Times New Roman"/>
          <w:sz w:val="24"/>
          <w:szCs w:val="24"/>
        </w:rPr>
        <w:t xml:space="preserve">ação entre coletividade e inteligência negras como estratégias vitoriosas no combate às diversas formas de opressão. </w:t>
      </w:r>
    </w:p>
    <w:p w:rsidR="00D67A42" w:rsidRDefault="00F4783A">
      <w:pPr>
        <w:spacing w:after="0" w:line="240" w:lineRule="auto"/>
        <w:ind w:firstLine="708"/>
        <w:jc w:val="both"/>
      </w:pPr>
      <w:r>
        <w:rPr>
          <w:rFonts w:ascii="Times New Roman" w:eastAsia="Times New Roman" w:hAnsi="Times New Roman" w:cs="Times New Roman"/>
          <w:sz w:val="24"/>
          <w:szCs w:val="24"/>
        </w:rPr>
        <w:t>Exemplo desta articulação encontra-se no quilombo. Resultado de fugas daqueles espoliados pelo sistema escravista, os quilombos eram geralmente estabelecidos em territórios inóspitos e distantes dos centros administrativos urbanos ou rurais. Matas, regiões</w:t>
      </w:r>
      <w:r>
        <w:rPr>
          <w:rFonts w:ascii="Times New Roman" w:eastAsia="Times New Roman" w:hAnsi="Times New Roman" w:cs="Times New Roman"/>
          <w:sz w:val="24"/>
          <w:szCs w:val="24"/>
        </w:rPr>
        <w:t xml:space="preserve"> pantaneiras ou complexos rochosos foram os locais em que se abrigavam estas formas de vida-resistência coletiva. Nelas, pessoas de diversas origens se juntavam para tentar sobreviver. O resultado deste contato entre diferentes, mas que partilhavam os mesm</w:t>
      </w:r>
      <w:r>
        <w:rPr>
          <w:rFonts w:ascii="Times New Roman" w:eastAsia="Times New Roman" w:hAnsi="Times New Roman" w:cs="Times New Roman"/>
          <w:sz w:val="24"/>
          <w:szCs w:val="24"/>
        </w:rPr>
        <w:t xml:space="preserve">os infortúnios, significou formas de reterritorialização cujo resultado é possível perceber, dentre outros aspectos, por meio das manifestações culturais. Ritos religiosos, cantos, poemas, danças e elementos culinários são apenas alguns exemplos imediatos </w:t>
      </w:r>
      <w:r>
        <w:rPr>
          <w:rFonts w:ascii="Times New Roman" w:eastAsia="Times New Roman" w:hAnsi="Times New Roman" w:cs="Times New Roman"/>
          <w:sz w:val="24"/>
          <w:szCs w:val="24"/>
        </w:rPr>
        <w:t>deste cadinho de reelaboração que havia nos quilombos. A “impureza” da mistura quilombola foi responsável por estruturar formas de enfrentamento ao racismo, princípio de intolerâncias de inúmeras ordens. A este respeito, Achille Mbembe define o racismo com</w:t>
      </w:r>
      <w:r>
        <w:rPr>
          <w:rFonts w:ascii="Times New Roman" w:eastAsia="Times New Roman" w:hAnsi="Times New Roman" w:cs="Times New Roman"/>
          <w:sz w:val="24"/>
          <w:szCs w:val="24"/>
        </w:rPr>
        <w:t>o “jaula” da modernidade, isto é, “um complexo psiconírico” (MBEMBE, 2014, p. 25) que demanda desmonte justamente por meio de representações do universo negro a partir de um ponto de vista interno. Por sua vez, o quilombo almeja ser justamente o lugar da l</w:t>
      </w:r>
      <w:r>
        <w:rPr>
          <w:rFonts w:ascii="Times New Roman" w:eastAsia="Times New Roman" w:hAnsi="Times New Roman" w:cs="Times New Roman"/>
          <w:sz w:val="24"/>
          <w:szCs w:val="24"/>
        </w:rPr>
        <w:t>iberdade e da autoelaboração.</w:t>
      </w:r>
    </w:p>
    <w:p w:rsidR="00D67A42" w:rsidRDefault="00F4783A">
      <w:pPr>
        <w:spacing w:after="0" w:line="240" w:lineRule="auto"/>
        <w:ind w:firstLine="708"/>
        <w:jc w:val="both"/>
      </w:pPr>
      <w:r>
        <w:rPr>
          <w:rFonts w:ascii="Times New Roman" w:eastAsia="Times New Roman" w:hAnsi="Times New Roman" w:cs="Times New Roman"/>
          <w:sz w:val="24"/>
          <w:szCs w:val="24"/>
        </w:rPr>
        <w:t>A fim de ampliar o entendimento do conceito de quilombo e suas estruturações, portanto, propomos três movimentos daqui em diante. O primeiro será o de debater o quilombismo, conforme proposto do Abdias do Nascimento. O segundo</w:t>
      </w:r>
      <w:r>
        <w:rPr>
          <w:rFonts w:ascii="Times New Roman" w:eastAsia="Times New Roman" w:hAnsi="Times New Roman" w:cs="Times New Roman"/>
          <w:sz w:val="24"/>
          <w:szCs w:val="24"/>
        </w:rPr>
        <w:t xml:space="preserve"> pretende discutir a noção de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conforme a perspectiva de Dominique Maingueneau. E, finalmente, analisaremos o discurso de apresentação da Mazza Edições, relacionando-o com as noções de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e quilombismo. O nosso </w:t>
      </w:r>
      <w:r>
        <w:rPr>
          <w:rFonts w:ascii="Times New Roman" w:eastAsia="Times New Roman" w:hAnsi="Times New Roman" w:cs="Times New Roman"/>
          <w:i/>
          <w:sz w:val="24"/>
          <w:szCs w:val="24"/>
        </w:rPr>
        <w:t>corpus</w:t>
      </w:r>
      <w:r>
        <w:rPr>
          <w:rFonts w:ascii="Times New Roman" w:eastAsia="Times New Roman" w:hAnsi="Times New Roman" w:cs="Times New Roman"/>
          <w:sz w:val="24"/>
          <w:szCs w:val="24"/>
        </w:rPr>
        <w:t xml:space="preserve"> será composto pelos textos de</w:t>
      </w:r>
      <w:r>
        <w:rPr>
          <w:rFonts w:ascii="Times New Roman" w:eastAsia="Times New Roman" w:hAnsi="Times New Roman" w:cs="Times New Roman"/>
          <w:sz w:val="24"/>
          <w:szCs w:val="24"/>
        </w:rPr>
        <w:t xml:space="preserve"> apresentação contidos no site oficial da referida editora. Faremos pesquisa bibliográfica e exploratória, considerando o objeto de análise e as fontes teóricas.</w:t>
      </w: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b/>
          <w:sz w:val="24"/>
          <w:szCs w:val="24"/>
        </w:rPr>
        <w:t>2. O quilombismo, segundo Abdias do Nascimento</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Um dos pensadores brasileiros que mais se de</w:t>
      </w:r>
      <w:r>
        <w:rPr>
          <w:rFonts w:ascii="Times New Roman" w:eastAsia="Times New Roman" w:hAnsi="Times New Roman" w:cs="Times New Roman"/>
          <w:sz w:val="24"/>
          <w:szCs w:val="24"/>
        </w:rPr>
        <w:t xml:space="preserve">dicou ao estudo do quilombo – entendido como organização </w:t>
      </w:r>
      <w:r>
        <w:t>–</w:t>
      </w:r>
      <w:r>
        <w:rPr>
          <w:rFonts w:ascii="Times New Roman" w:eastAsia="Times New Roman" w:hAnsi="Times New Roman" w:cs="Times New Roman"/>
          <w:sz w:val="24"/>
          <w:szCs w:val="24"/>
        </w:rPr>
        <w:t xml:space="preserve">  e ao quilombismo </w:t>
      </w:r>
      <w:r>
        <w:t>–</w:t>
      </w:r>
      <w:r>
        <w:rPr>
          <w:rFonts w:ascii="Times New Roman" w:eastAsia="Times New Roman" w:hAnsi="Times New Roman" w:cs="Times New Roman"/>
          <w:sz w:val="24"/>
          <w:szCs w:val="24"/>
        </w:rPr>
        <w:t xml:space="preserve"> entendido como forma de ser </w:t>
      </w:r>
      <w:r>
        <w:t>–</w:t>
      </w:r>
      <w:r>
        <w:rPr>
          <w:rFonts w:ascii="Times New Roman" w:eastAsia="Times New Roman" w:hAnsi="Times New Roman" w:cs="Times New Roman"/>
          <w:sz w:val="24"/>
          <w:szCs w:val="24"/>
        </w:rPr>
        <w:t xml:space="preserve">  foi Abdias do Nascimento. Para Nascimento, o quilombismo é um movimento político dos negros brasileiros que objetiva reavivar práticas e estratégi</w:t>
      </w:r>
      <w:r>
        <w:rPr>
          <w:rFonts w:ascii="Times New Roman" w:eastAsia="Times New Roman" w:hAnsi="Times New Roman" w:cs="Times New Roman"/>
          <w:sz w:val="24"/>
          <w:szCs w:val="24"/>
        </w:rPr>
        <w:t xml:space="preserve">as de resistência inspiradas na República dos Palmares </w:t>
      </w:r>
      <w:r>
        <w:rPr>
          <w:rFonts w:ascii="Times New Roman" w:eastAsia="Times New Roman" w:hAnsi="Times New Roman" w:cs="Times New Roman"/>
          <w:sz w:val="24"/>
          <w:szCs w:val="24"/>
        </w:rPr>
        <w:lastRenderedPageBreak/>
        <w:t>(século XVI) e outras iniciativas. “Quilombo não significa escravo fugido. Quilombo quer dizer reunião fraterna e livre, solidariedade, convivência, comunhão existencial”, afirma o autor, que também ac</w:t>
      </w:r>
      <w:r>
        <w:rPr>
          <w:rFonts w:ascii="Times New Roman" w:eastAsia="Times New Roman" w:hAnsi="Times New Roman" w:cs="Times New Roman"/>
          <w:sz w:val="24"/>
          <w:szCs w:val="24"/>
        </w:rPr>
        <w:t>rescenta: “o quilombismo expressa a ciência do sangue escravo (NASCIMENTO, 1980, p. 263-264).</w:t>
      </w:r>
    </w:p>
    <w:p w:rsidR="00D67A42" w:rsidRDefault="00F4783A">
      <w:pPr>
        <w:spacing w:after="0" w:line="240" w:lineRule="auto"/>
        <w:ind w:firstLine="708"/>
        <w:jc w:val="both"/>
      </w:pPr>
      <w:r>
        <w:rPr>
          <w:rFonts w:ascii="Times New Roman" w:eastAsia="Times New Roman" w:hAnsi="Times New Roman" w:cs="Times New Roman"/>
          <w:sz w:val="24"/>
          <w:szCs w:val="24"/>
        </w:rPr>
        <w:t>Como utopia, o quilombismo desaguaria numa espécie de Estado Nacional. Como pensamento crítico, o movimento sustentaria os princípios de uma sociedade livre, just</w:t>
      </w:r>
      <w:r>
        <w:rPr>
          <w:rFonts w:ascii="Times New Roman" w:eastAsia="Times New Roman" w:hAnsi="Times New Roman" w:cs="Times New Roman"/>
          <w:sz w:val="24"/>
          <w:szCs w:val="24"/>
        </w:rPr>
        <w:t>a, igualitária e soberana. Em ambas as dimensões, o fim do quilombismo é a promoção da vida plena a todos seres humanos. Para realizar este objetivo, cabe ao movimento político buscar continuamente práticas coletivistas, o que implicaria repensar os vetore</w:t>
      </w:r>
      <w:r>
        <w:rPr>
          <w:rFonts w:ascii="Times New Roman" w:eastAsia="Times New Roman" w:hAnsi="Times New Roman" w:cs="Times New Roman"/>
          <w:sz w:val="24"/>
          <w:szCs w:val="24"/>
        </w:rPr>
        <w:t>s da produção, da distribuição e da divisão dos capitais e riquezas circulantes na sociedade. Educação e cultura seriam importantes pilares do desenvolvimento quilombista.</w:t>
      </w:r>
    </w:p>
    <w:p w:rsidR="00D67A42" w:rsidRDefault="00F4783A">
      <w:pPr>
        <w:spacing w:after="0" w:line="240" w:lineRule="auto"/>
        <w:ind w:firstLine="708"/>
        <w:jc w:val="both"/>
      </w:pPr>
      <w:r>
        <w:rPr>
          <w:rFonts w:ascii="Times New Roman" w:eastAsia="Times New Roman" w:hAnsi="Times New Roman" w:cs="Times New Roman"/>
          <w:sz w:val="24"/>
          <w:szCs w:val="24"/>
        </w:rPr>
        <w:t>Por isso, Abdias do Nascimento defende a universalidade da educação gratuita, aberta</w:t>
      </w:r>
      <w:r>
        <w:rPr>
          <w:rFonts w:ascii="Times New Roman" w:eastAsia="Times New Roman" w:hAnsi="Times New Roman" w:cs="Times New Roman"/>
          <w:sz w:val="24"/>
          <w:szCs w:val="24"/>
        </w:rPr>
        <w:t xml:space="preserve"> e plural, com especial importância à História de África, sua diáspora e suas implicações para a Modernidade. Como o quilombismo propõe a fundação de uma sociedade criativa, ele procurará estimular todas as potencialidades do ser humano e sua plena realiza</w:t>
      </w:r>
      <w:r>
        <w:rPr>
          <w:rFonts w:ascii="Times New Roman" w:eastAsia="Times New Roman" w:hAnsi="Times New Roman" w:cs="Times New Roman"/>
          <w:sz w:val="24"/>
          <w:szCs w:val="24"/>
        </w:rPr>
        <w:t>ção. Nas palavras de Nascimento, o quilombismo deve “combater o embrutecimento causado pelo hábito, pela miséria, pela mecanização da existência e pela burocratização das relações humanas e sociais” (NASCIMENTO, 1980, p. 276). Nesta perspectiva, as artes e</w:t>
      </w:r>
      <w:r>
        <w:rPr>
          <w:rFonts w:ascii="Times New Roman" w:eastAsia="Times New Roman" w:hAnsi="Times New Roman" w:cs="Times New Roman"/>
          <w:sz w:val="24"/>
          <w:szCs w:val="24"/>
        </w:rPr>
        <w:t>m geral ocupariam um espaço central no sistema educativo e no contexto das atividades sociais. O mesmo vale para os meios de produção e circulação das artes, como, arriscamos dizer, o campo editorial. Mas, neste caso, manipulado por mãos de cor escura.</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Na </w:t>
      </w:r>
      <w:r>
        <w:rPr>
          <w:rFonts w:ascii="Times New Roman" w:eastAsia="Times New Roman" w:hAnsi="Times New Roman" w:cs="Times New Roman"/>
          <w:sz w:val="24"/>
          <w:szCs w:val="24"/>
        </w:rPr>
        <w:t>esteira das provocações de Abdias do Nascimento, inúmeros afro-brasileiros têm se organizado em vários campos da cultura a fim de viabilizar formas de afirmação de suas existências. No domínio das Letras, já nos é notória a existência de uma linhagem chama</w:t>
      </w:r>
      <w:r>
        <w:rPr>
          <w:rFonts w:ascii="Times New Roman" w:eastAsia="Times New Roman" w:hAnsi="Times New Roman" w:cs="Times New Roman"/>
          <w:sz w:val="24"/>
          <w:szCs w:val="24"/>
        </w:rPr>
        <w:t>da de literatura negra ou afro-brasileira (a variação do conceito para nossos fins não importa). Conforme aponta Eduardo de Assis Duarte (2011), esta literatura é definida pelos seguintes elementos: autoria, temática, ponto de vista, linguagem e formação d</w:t>
      </w:r>
      <w:r>
        <w:rPr>
          <w:rFonts w:ascii="Times New Roman" w:eastAsia="Times New Roman" w:hAnsi="Times New Roman" w:cs="Times New Roman"/>
          <w:sz w:val="24"/>
          <w:szCs w:val="24"/>
        </w:rPr>
        <w:t xml:space="preserve">e público leitor. </w:t>
      </w:r>
    </w:p>
    <w:p w:rsidR="00D67A42" w:rsidRDefault="00F4783A">
      <w:pPr>
        <w:spacing w:after="0" w:line="240" w:lineRule="auto"/>
        <w:ind w:firstLine="708"/>
        <w:jc w:val="both"/>
      </w:pPr>
      <w:r>
        <w:rPr>
          <w:rFonts w:ascii="Times New Roman" w:eastAsia="Times New Roman" w:hAnsi="Times New Roman" w:cs="Times New Roman"/>
          <w:sz w:val="24"/>
          <w:szCs w:val="24"/>
        </w:rPr>
        <w:t>Já do ponto de vista editorial, quando tratamos especificamente de iniciativas comprometidas com a difusão do livre pensamento negro/afro-brasileiro, notamos características semelhantes: um editor negro ou imerso na causa negra, como fim</w:t>
      </w:r>
      <w:r>
        <w:rPr>
          <w:rFonts w:ascii="Times New Roman" w:eastAsia="Times New Roman" w:hAnsi="Times New Roman" w:cs="Times New Roman"/>
          <w:sz w:val="24"/>
          <w:szCs w:val="24"/>
        </w:rPr>
        <w:t xml:space="preserve"> e começo; o universo afrodiaspórico como essência temática do catálogo; o ponto de vista mercadológico e cultural guiado pelo compromisso com o coletivo negro </w:t>
      </w:r>
      <w:r>
        <w:t>–</w:t>
      </w:r>
      <w:r>
        <w:rPr>
          <w:rFonts w:ascii="Times New Roman" w:eastAsia="Times New Roman" w:hAnsi="Times New Roman" w:cs="Times New Roman"/>
          <w:sz w:val="24"/>
          <w:szCs w:val="24"/>
        </w:rPr>
        <w:t xml:space="preserve">  o que só é possível se a editora for pautada pela lógica independente</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a difusão da bibliodi</w:t>
      </w:r>
      <w:r>
        <w:rPr>
          <w:rFonts w:ascii="Times New Roman" w:eastAsia="Times New Roman" w:hAnsi="Times New Roman" w:cs="Times New Roman"/>
          <w:sz w:val="24"/>
          <w:szCs w:val="24"/>
        </w:rPr>
        <w:t>versidade, o que inclui o enfrentamento a formas e discursividade instituídas; e o compromisso com a formação de um público leitor (e consumidor) da produção intelectual negra.</w:t>
      </w:r>
    </w:p>
    <w:p w:rsidR="00D67A42" w:rsidRDefault="00F4783A">
      <w:pPr>
        <w:tabs>
          <w:tab w:val="left" w:pos="709"/>
        </w:tabs>
        <w:spacing w:after="0" w:line="240" w:lineRule="auto"/>
        <w:jc w:val="both"/>
      </w:pPr>
      <w:r>
        <w:rPr>
          <w:rFonts w:ascii="Times New Roman" w:eastAsia="Times New Roman" w:hAnsi="Times New Roman" w:cs="Times New Roman"/>
          <w:sz w:val="24"/>
          <w:szCs w:val="24"/>
        </w:rPr>
        <w:tab/>
        <w:t xml:space="preserve">Parece apropriado referir-se às casas e/ou iniciativas editoriais negras como </w:t>
      </w:r>
      <w:r>
        <w:rPr>
          <w:rFonts w:ascii="Times New Roman" w:eastAsia="Times New Roman" w:hAnsi="Times New Roman" w:cs="Times New Roman"/>
          <w:i/>
          <w:sz w:val="24"/>
          <w:szCs w:val="24"/>
        </w:rPr>
        <w:t>quilombos</w:t>
      </w:r>
      <w:r>
        <w:rPr>
          <w:rFonts w:ascii="Times New Roman" w:eastAsia="Times New Roman" w:hAnsi="Times New Roman" w:cs="Times New Roman"/>
          <w:sz w:val="24"/>
          <w:szCs w:val="24"/>
        </w:rPr>
        <w:t>, entendendo este termo, em uma acepção ampliada. Amparado pelas reflexões de Abdias do Nascimento (1980), Luiz Henrique Oliveira (2018) propõe entender o quilombo como metáfora para compreensão das propostas de atuação das casas editoriais negras</w:t>
      </w:r>
      <w:r>
        <w:rPr>
          <w:rFonts w:ascii="Times New Roman" w:eastAsia="Times New Roman" w:hAnsi="Times New Roman" w:cs="Times New Roman"/>
          <w:sz w:val="24"/>
          <w:szCs w:val="24"/>
        </w:rPr>
        <w:t xml:space="preserve">. Para Oliveira, os </w:t>
      </w:r>
      <w:r>
        <w:rPr>
          <w:rFonts w:ascii="Times New Roman" w:eastAsia="Times New Roman" w:hAnsi="Times New Roman" w:cs="Times New Roman"/>
          <w:i/>
          <w:sz w:val="24"/>
          <w:szCs w:val="24"/>
        </w:rPr>
        <w:t>quilombos editoriais</w:t>
      </w:r>
      <w:r>
        <w:rPr>
          <w:rFonts w:ascii="Times New Roman" w:eastAsia="Times New Roman" w:hAnsi="Times New Roman" w:cs="Times New Roman"/>
          <w:sz w:val="24"/>
          <w:szCs w:val="24"/>
        </w:rPr>
        <w:t xml:space="preserve"> são </w:t>
      </w:r>
    </w:p>
    <w:p w:rsidR="00D67A42" w:rsidRDefault="00D67A42">
      <w:pPr>
        <w:tabs>
          <w:tab w:val="left" w:pos="709"/>
        </w:tabs>
        <w:spacing w:after="0" w:line="240" w:lineRule="auto"/>
        <w:jc w:val="both"/>
        <w:rPr>
          <w:rFonts w:ascii="Times New Roman" w:eastAsia="Times New Roman" w:hAnsi="Times New Roman" w:cs="Times New Roman"/>
          <w:sz w:val="24"/>
          <w:szCs w:val="24"/>
        </w:rPr>
      </w:pPr>
    </w:p>
    <w:p w:rsidR="00D67A42" w:rsidRDefault="00F4783A">
      <w:pPr>
        <w:tabs>
          <w:tab w:val="left" w:pos="709"/>
        </w:tabs>
        <w:spacing w:after="0" w:line="240" w:lineRule="auto"/>
        <w:ind w:left="2268"/>
        <w:jc w:val="both"/>
      </w:pPr>
      <w:r>
        <w:rPr>
          <w:rFonts w:ascii="Times New Roman" w:eastAsia="Times New Roman" w:hAnsi="Times New Roman" w:cs="Times New Roman"/>
          <w:sz w:val="20"/>
          <w:szCs w:val="20"/>
        </w:rPr>
        <w:t>um conjunto de iniciativas no campo editorial, comprometidas com a difusão de temas especificamente ligados ao universo afrodescendente, com claro propósito de alteração das configurações do imaginário social hegemônico. Possuem caráter deliberadamente ind</w:t>
      </w:r>
      <w:r>
        <w:rPr>
          <w:rFonts w:ascii="Times New Roman" w:eastAsia="Times New Roman" w:hAnsi="Times New Roman" w:cs="Times New Roman"/>
          <w:sz w:val="20"/>
          <w:szCs w:val="20"/>
        </w:rPr>
        <w:t>ependente. Seus autores são preferencialmente negros ou, em alguns casos, não-negros comprometidos com o combate ao racismo em todas as suas formas. O catálogo é vasto e diverso, com ênfase em ciências humanas, cultura, artes e literatura. Possuem nítido p</w:t>
      </w:r>
      <w:r>
        <w:rPr>
          <w:rFonts w:ascii="Times New Roman" w:eastAsia="Times New Roman" w:hAnsi="Times New Roman" w:cs="Times New Roman"/>
          <w:sz w:val="20"/>
          <w:szCs w:val="20"/>
        </w:rPr>
        <w:t xml:space="preserve">rojeto de intervenção político-intelectual a fim de criar </w:t>
      </w:r>
      <w:r>
        <w:rPr>
          <w:rFonts w:ascii="Times New Roman" w:eastAsia="Times New Roman" w:hAnsi="Times New Roman" w:cs="Times New Roman"/>
          <w:sz w:val="20"/>
          <w:szCs w:val="20"/>
        </w:rPr>
        <w:lastRenderedPageBreak/>
        <w:t>debates e formar continuamente leitores sensíveis à diversidade em sentido amplo. Para além de casas de publicação, operam como territórios de ação e resistência ao bloqueio tácito no campo editoria</w:t>
      </w:r>
      <w:r>
        <w:rPr>
          <w:rFonts w:ascii="Times New Roman" w:eastAsia="Times New Roman" w:hAnsi="Times New Roman" w:cs="Times New Roman"/>
          <w:sz w:val="20"/>
          <w:szCs w:val="20"/>
        </w:rPr>
        <w:t>l brasileiro. (OLIVEIRA, 2018, p. 157).</w:t>
      </w:r>
    </w:p>
    <w:p w:rsidR="00D67A42" w:rsidRDefault="00D67A42">
      <w:pPr>
        <w:tabs>
          <w:tab w:val="left" w:pos="709"/>
        </w:tabs>
        <w:spacing w:after="0" w:line="240" w:lineRule="auto"/>
        <w:ind w:left="2268"/>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Os quilombos editoriais atuam exclusivamente no campo da publicação (principalmente individual de autores negros) e da intervenção cultural. Dentre eles, destacamos: a Tipografia Fluminense de Brito e Cia. e a Empre</w:t>
      </w:r>
      <w:r>
        <w:rPr>
          <w:rFonts w:ascii="Times New Roman" w:eastAsia="Times New Roman" w:hAnsi="Times New Roman" w:cs="Times New Roman"/>
          <w:sz w:val="24"/>
          <w:szCs w:val="24"/>
        </w:rPr>
        <w:t>sa Tipográfica Dous de Dezembro, criadas por Francisco de Paula Brito; a Editora Pallas; a Mazza Edições; a Nandyala Editora; a Editora Ogum’s Toques Negros; a Editora Malê; e a Ciclo Contínuo Editorial.</w:t>
      </w:r>
    </w:p>
    <w:p w:rsidR="00D67A42" w:rsidRDefault="00F4783A">
      <w:pPr>
        <w:spacing w:after="0" w:line="240" w:lineRule="auto"/>
        <w:ind w:firstLine="708"/>
        <w:jc w:val="both"/>
      </w:pPr>
      <w:r>
        <w:rPr>
          <w:rFonts w:ascii="Times New Roman" w:eastAsia="Times New Roman" w:hAnsi="Times New Roman" w:cs="Times New Roman"/>
          <w:sz w:val="24"/>
          <w:szCs w:val="24"/>
        </w:rPr>
        <w:t>Estas casas ou quilombos editorais, porém, só conseg</w:t>
      </w:r>
      <w:r>
        <w:rPr>
          <w:rFonts w:ascii="Times New Roman" w:eastAsia="Times New Roman" w:hAnsi="Times New Roman" w:cs="Times New Roman"/>
          <w:sz w:val="24"/>
          <w:szCs w:val="24"/>
        </w:rPr>
        <w:t xml:space="preserve">uirão ser bem-sucedidas em suas empreitadas se conseguirem comunicar </w:t>
      </w:r>
      <w:r>
        <w:t>–</w:t>
      </w:r>
      <w:r>
        <w:rPr>
          <w:rFonts w:ascii="Times New Roman" w:eastAsia="Times New Roman" w:hAnsi="Times New Roman" w:cs="Times New Roman"/>
          <w:sz w:val="24"/>
          <w:szCs w:val="24"/>
        </w:rPr>
        <w:t xml:space="preserve"> e bem </w:t>
      </w:r>
      <w:r>
        <w:t>–</w:t>
      </w:r>
      <w:r>
        <w:rPr>
          <w:rFonts w:ascii="Times New Roman" w:eastAsia="Times New Roman" w:hAnsi="Times New Roman" w:cs="Times New Roman"/>
          <w:sz w:val="24"/>
          <w:szCs w:val="24"/>
        </w:rPr>
        <w:t xml:space="preserve"> suas estratégias. Do ponto de vista comunicativo, é necessário que a casa de publicação projete os seus interesses, motivações e valores nos atos comunicativos que realiza. E, p</w:t>
      </w:r>
      <w:r>
        <w:rPr>
          <w:rFonts w:ascii="Times New Roman" w:eastAsia="Times New Roman" w:hAnsi="Times New Roman" w:cs="Times New Roman"/>
          <w:sz w:val="24"/>
          <w:szCs w:val="24"/>
        </w:rPr>
        <w:t xml:space="preserve">or sua vez, os interlocutores precisam se identificar com os interesses, motivações e valores das casas de publicação. Com base nesse movimento dialético, podemos dizer que atua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mais especificamente, aqui, editorial e quilombola.  Bom exemplo é a </w:t>
      </w:r>
      <w:r>
        <w:rPr>
          <w:rFonts w:ascii="Times New Roman" w:eastAsia="Times New Roman" w:hAnsi="Times New Roman" w:cs="Times New Roman"/>
          <w:sz w:val="24"/>
          <w:szCs w:val="24"/>
        </w:rPr>
        <w:t xml:space="preserve">Mazza Edições, editora fundada em Belo Horizonte, por Maria Mazarello Rodrigues, em 1981. Vejamos, antes, como se estrutura a noção de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w:t>
      </w: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b/>
          <w:sz w:val="24"/>
          <w:szCs w:val="24"/>
        </w:rPr>
        <w:t xml:space="preserve">3. O </w:t>
      </w:r>
      <w:r>
        <w:rPr>
          <w:rFonts w:ascii="Times New Roman" w:eastAsia="Times New Roman" w:hAnsi="Times New Roman" w:cs="Times New Roman"/>
          <w:b/>
          <w:i/>
          <w:sz w:val="24"/>
          <w:szCs w:val="24"/>
        </w:rPr>
        <w:t>ethos</w:t>
      </w:r>
      <w:r>
        <w:rPr>
          <w:rFonts w:ascii="Times New Roman" w:eastAsia="Times New Roman" w:hAnsi="Times New Roman" w:cs="Times New Roman"/>
          <w:b/>
          <w:sz w:val="24"/>
          <w:szCs w:val="24"/>
        </w:rPr>
        <w:t>, segundo Dominique Maingueneau</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 xml:space="preserve">Neste estudo, a noção de </w:t>
      </w:r>
      <w:r>
        <w:rPr>
          <w:rFonts w:ascii="Times New Roman" w:eastAsia="Times New Roman" w:hAnsi="Times New Roman" w:cs="Times New Roman"/>
          <w:i/>
          <w:sz w:val="24"/>
          <w:szCs w:val="24"/>
        </w:rPr>
        <w:t xml:space="preserve">ethos </w:t>
      </w:r>
      <w:r>
        <w:rPr>
          <w:rFonts w:ascii="Times New Roman" w:eastAsia="Times New Roman" w:hAnsi="Times New Roman" w:cs="Times New Roman"/>
          <w:sz w:val="24"/>
          <w:szCs w:val="24"/>
        </w:rPr>
        <w:t>será entendida como a construção da im</w:t>
      </w:r>
      <w:r>
        <w:rPr>
          <w:rFonts w:ascii="Times New Roman" w:eastAsia="Times New Roman" w:hAnsi="Times New Roman" w:cs="Times New Roman"/>
          <w:sz w:val="24"/>
          <w:szCs w:val="24"/>
        </w:rPr>
        <w:t>agem de si que o enunciador realiza</w:t>
      </w:r>
      <w:r>
        <w:rPr>
          <w:rFonts w:ascii="Times New Roman" w:eastAsia="Times New Roman" w:hAnsi="Times New Roman" w:cs="Times New Roman"/>
          <w:i/>
          <w:sz w:val="24"/>
          <w:szCs w:val="24"/>
        </w:rPr>
        <w:t xml:space="preserve"> no</w:t>
      </w:r>
      <w:r>
        <w:rPr>
          <w:rFonts w:ascii="Times New Roman" w:eastAsia="Times New Roman" w:hAnsi="Times New Roman" w:cs="Times New Roman"/>
          <w:sz w:val="24"/>
          <w:szCs w:val="24"/>
        </w:rPr>
        <w:t xml:space="preserve"> e </w:t>
      </w:r>
      <w:r>
        <w:rPr>
          <w:rFonts w:ascii="Times New Roman" w:eastAsia="Times New Roman" w:hAnsi="Times New Roman" w:cs="Times New Roman"/>
          <w:i/>
          <w:sz w:val="24"/>
          <w:szCs w:val="24"/>
        </w:rPr>
        <w:t>pelo</w:t>
      </w:r>
      <w:r>
        <w:rPr>
          <w:rFonts w:ascii="Times New Roman" w:eastAsia="Times New Roman" w:hAnsi="Times New Roman" w:cs="Times New Roman"/>
          <w:sz w:val="24"/>
          <w:szCs w:val="24"/>
        </w:rPr>
        <w:t xml:space="preserve"> processo discursivo. Por sua vez, esta imagem própria encontra-se ancorada em representações razoavelmente cristalizadas, seja na imagem prévia que se tem de quem enuncia ou recebe a mensagem; seja por meio de </w:t>
      </w:r>
      <w:r>
        <w:rPr>
          <w:rFonts w:ascii="Times New Roman" w:eastAsia="Times New Roman" w:hAnsi="Times New Roman" w:cs="Times New Roman"/>
          <w:sz w:val="24"/>
          <w:szCs w:val="24"/>
        </w:rPr>
        <w:t xml:space="preserve">estratégias discursivas (verbais e não verbais); seja através das características consensuadas nos gêneros que estruturam a cena discursiva. </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Para Dominique Maingueneau,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não pode ser definido de maneira estática, tampouco pode ser bem delimitado, u</w:t>
      </w:r>
      <w:r>
        <w:rPr>
          <w:rFonts w:ascii="Times New Roman" w:eastAsia="Times New Roman" w:hAnsi="Times New Roman" w:cs="Times New Roman"/>
          <w:sz w:val="24"/>
          <w:szCs w:val="24"/>
        </w:rPr>
        <w:t>ma vez que ele é definido como “uma forma dinâmica construída pelo destinatário através dos movimentos da própria fala do locutor” (MAINGUENEAU, 2008, p.14). Segundo o autor francês, deve-se levar em consideração o fato de que o discurso (qualquer discurso</w:t>
      </w:r>
      <w:r>
        <w:rPr>
          <w:rFonts w:ascii="Times New Roman" w:eastAsia="Times New Roman" w:hAnsi="Times New Roman" w:cs="Times New Roman"/>
          <w:sz w:val="24"/>
          <w:szCs w:val="24"/>
        </w:rPr>
        <w:t xml:space="preserve">) se encontra amparado por conjunturas de ordem social e histórica. Assim, cabe ao destinatário conferir determinadas características no momento em que ocorre o ato enunciativo. </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É bem verdade que o enunciador procura estabelecer legitimidade, confiança e crédito ao que é dito. Contudo,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na perspectiva de Maingueneau, não está relacionado apenas à dimensão verbal do discurso. Ele também leva em conta as caracterizações físi</w:t>
      </w:r>
      <w:r>
        <w:rPr>
          <w:rFonts w:ascii="Times New Roman" w:eastAsia="Times New Roman" w:hAnsi="Times New Roman" w:cs="Times New Roman"/>
          <w:sz w:val="24"/>
          <w:szCs w:val="24"/>
        </w:rPr>
        <w:t>cas e psíquicas referentes ao enunciador. Por sua vez, as caracterizações não são abstratas: elas se estruturam por meio de representações coletivas e essenciais, situadas no tempo e no espaço, denominadas por Maingueneau de estereótipos. E estes são funda</w:t>
      </w:r>
      <w:r>
        <w:rPr>
          <w:rFonts w:ascii="Times New Roman" w:eastAsia="Times New Roman" w:hAnsi="Times New Roman" w:cs="Times New Roman"/>
          <w:sz w:val="24"/>
          <w:szCs w:val="24"/>
        </w:rPr>
        <w:t xml:space="preserve">mentais para a estruturação do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Os estereótipos, vale lembrar, não dizem respeito a imagens necessariamente negativas, mas sim a imagens prévias e/ou relativamente consensuais em determinada sociedade, em dado momento histórico. Vejamos o diagrama el</w:t>
      </w:r>
      <w:r>
        <w:rPr>
          <w:rFonts w:ascii="Times New Roman" w:eastAsia="Times New Roman" w:hAnsi="Times New Roman" w:cs="Times New Roman"/>
          <w:sz w:val="24"/>
          <w:szCs w:val="24"/>
        </w:rPr>
        <w:t>aborado pelo autor:</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sz w:val="24"/>
          <w:szCs w:val="24"/>
        </w:rPr>
        <w:t xml:space="preserve">Figura 1: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efetivo, segundo Dominique Maingueneau</w:t>
      </w:r>
    </w:p>
    <w:p w:rsidR="00D67A42" w:rsidRDefault="00D67A42">
      <w:pPr>
        <w:spacing w:after="0" w:line="240" w:lineRule="auto"/>
        <w:jc w:val="both"/>
        <w:rPr>
          <w:rFonts w:ascii="Times New Roman" w:eastAsia="Times New Roman" w:hAnsi="Times New Roman" w:cs="Times New Roman"/>
          <w:color w:val="FF0000"/>
          <w:sz w:val="24"/>
          <w:szCs w:val="24"/>
        </w:rPr>
      </w:pPr>
    </w:p>
    <w:p w:rsidR="00D67A42" w:rsidRDefault="00F4783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114300" distR="114300">
            <wp:extent cx="3291840" cy="1993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291840" cy="1993900"/>
                    </a:xfrm>
                    <a:prstGeom prst="rect">
                      <a:avLst/>
                    </a:prstGeom>
                    <a:ln/>
                  </pic:spPr>
                </pic:pic>
              </a:graphicData>
            </a:graphic>
          </wp:inline>
        </w:drawing>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sz w:val="24"/>
          <w:szCs w:val="24"/>
        </w:rPr>
        <w:t>Fonte: MAINGUENEAU, 2008, p. 19.</w:t>
      </w: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 xml:space="preserve">De acordo com Maingueneau,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(efetivo) é o resultado das articulações estabelecidas entre o </w:t>
      </w:r>
      <w:r>
        <w:rPr>
          <w:rFonts w:ascii="Times New Roman" w:eastAsia="Times New Roman" w:hAnsi="Times New Roman" w:cs="Times New Roman"/>
          <w:i/>
          <w:sz w:val="24"/>
          <w:szCs w:val="24"/>
        </w:rPr>
        <w:t>etho</w:t>
      </w:r>
      <w:r>
        <w:rPr>
          <w:rFonts w:ascii="Times New Roman" w:eastAsia="Times New Roman" w:hAnsi="Times New Roman" w:cs="Times New Roman"/>
          <w:sz w:val="24"/>
          <w:szCs w:val="24"/>
        </w:rPr>
        <w:t xml:space="preserve">s pré-discursivo e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pré-discursivo se refere às imagens ou estereótipos que o auditório possui em relação ao enunciador ou a determinadas práticas discursivas.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(mostrado/dito) se refere ao uso de elementos linguísticos pelo enunciador p</w:t>
      </w:r>
      <w:r>
        <w:rPr>
          <w:rFonts w:ascii="Times New Roman" w:eastAsia="Times New Roman" w:hAnsi="Times New Roman" w:cs="Times New Roman"/>
          <w:sz w:val="24"/>
          <w:szCs w:val="24"/>
        </w:rPr>
        <w:t>ara a construção da imagem de si mesmo durante o ato enunciativo</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Assim como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pré-discursivo pode afetar a estruturação do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(mostrado ou dito),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(mostrado ou dito) pode interferir na concepção do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pré-discursi</w:t>
      </w:r>
      <w:r>
        <w:rPr>
          <w:rFonts w:ascii="Times New Roman" w:eastAsia="Times New Roman" w:hAnsi="Times New Roman" w:cs="Times New Roman"/>
          <w:sz w:val="24"/>
          <w:szCs w:val="24"/>
        </w:rPr>
        <w:t xml:space="preserve">vo. A dialética pauta a relação entre as duas formas de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Vale lembrar que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pré-discursivo está ancorado em uma série de imagens externas à manifestação do enunciador (estereótipos) uma vez que a sua imagem é construída pelo auditório antes mes</w:t>
      </w:r>
      <w:r>
        <w:rPr>
          <w:rFonts w:ascii="Times New Roman" w:eastAsia="Times New Roman" w:hAnsi="Times New Roman" w:cs="Times New Roman"/>
          <w:sz w:val="24"/>
          <w:szCs w:val="24"/>
        </w:rPr>
        <w:t xml:space="preserve">mo da sua enunciação. Essa imagem está relacionada aos modelos culturais compartilhados por determinada sociedade e cristalizados no imaginário dela.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(dito ou mostrado) leva em conta as imagens partilhadas, mas depende, antes de tudo, da</w:t>
      </w:r>
      <w:r>
        <w:rPr>
          <w:rFonts w:ascii="Times New Roman" w:eastAsia="Times New Roman" w:hAnsi="Times New Roman" w:cs="Times New Roman"/>
          <w:sz w:val="24"/>
          <w:szCs w:val="24"/>
        </w:rPr>
        <w:t xml:space="preserve"> estruturação do discurso do orador e da forma como o auditório processa esse discurso. Conforme explica Ruth Amossy, no momento em que toma a palavra, o orador “faz uma ideia de seu auditório e da maneira pela qual será percebido; avalia o impacto sobre s</w:t>
      </w:r>
      <w:r>
        <w:rPr>
          <w:rFonts w:ascii="Times New Roman" w:eastAsia="Times New Roman" w:hAnsi="Times New Roman" w:cs="Times New Roman"/>
          <w:sz w:val="24"/>
          <w:szCs w:val="24"/>
        </w:rPr>
        <w:t xml:space="preserve">eu discurso e trabalha para confirmar sua imagem, para reelaborá-la ou transformá-la e produzir uma impressão conforme às exigências de seu projeto argumentativo” (AMOSSY, 2008, p.125). </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portanto, é revelador através de três dimensões: a) o modo c</w:t>
      </w:r>
      <w:r>
        <w:rPr>
          <w:rFonts w:ascii="Times New Roman" w:eastAsia="Times New Roman" w:hAnsi="Times New Roman" w:cs="Times New Roman"/>
          <w:sz w:val="24"/>
          <w:szCs w:val="24"/>
        </w:rPr>
        <w:t xml:space="preserve">omo o enunciador se comporta; b) as estratégias de expressão que o enunciador adota; c) as imagens prévias (estereótipos, para Maingueneau), tanto as elaboradas pelo auditório em relação ao enunciador, quanto do enunciador em relação ao auditório. </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A esta </w:t>
      </w:r>
      <w:r>
        <w:rPr>
          <w:rFonts w:ascii="Times New Roman" w:eastAsia="Times New Roman" w:hAnsi="Times New Roman" w:cs="Times New Roman"/>
          <w:sz w:val="24"/>
          <w:szCs w:val="24"/>
        </w:rPr>
        <w:t xml:space="preserve">altura, podemos nos perguntar que especificidades possuiriam o </w:t>
      </w:r>
      <w:r>
        <w:rPr>
          <w:rFonts w:ascii="Times New Roman" w:eastAsia="Times New Roman" w:hAnsi="Times New Roman" w:cs="Times New Roman"/>
          <w:i/>
          <w:sz w:val="24"/>
          <w:szCs w:val="24"/>
        </w:rPr>
        <w:t xml:space="preserve">ethos </w:t>
      </w:r>
      <w:r>
        <w:rPr>
          <w:rFonts w:ascii="Times New Roman" w:eastAsia="Times New Roman" w:hAnsi="Times New Roman" w:cs="Times New Roman"/>
          <w:sz w:val="24"/>
          <w:szCs w:val="24"/>
        </w:rPr>
        <w:t xml:space="preserve">editorial quilombola? Como se estruturaria este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Ele se valeria de que estratégias? Como pretenderia ser percebido pelo horizonte de recepção?</w:t>
      </w:r>
    </w:p>
    <w:p w:rsidR="00D67A42" w:rsidRDefault="00F4783A">
      <w:pPr>
        <w:spacing w:after="0" w:line="240" w:lineRule="auto"/>
        <w:ind w:firstLine="708"/>
        <w:jc w:val="both"/>
      </w:pPr>
      <w:r>
        <w:rPr>
          <w:rFonts w:ascii="Times New Roman" w:eastAsia="Times New Roman" w:hAnsi="Times New Roman" w:cs="Times New Roman"/>
          <w:sz w:val="24"/>
          <w:szCs w:val="24"/>
        </w:rPr>
        <w:t>É nossa intenção, nas próximas páginas</w:t>
      </w:r>
      <w:r>
        <w:rPr>
          <w:rFonts w:ascii="Times New Roman" w:eastAsia="Times New Roman" w:hAnsi="Times New Roman" w:cs="Times New Roman"/>
          <w:sz w:val="24"/>
          <w:szCs w:val="24"/>
        </w:rPr>
        <w:t xml:space="preserve">, responder justamente a estas questões. Por ora, adiantamos que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efetivo (ou propriamente discursivo) de que tratamos neste estudo estrutura-se por meio de determinados elementos fiadores do discurso, a saber: a construção da credibilidade da casa </w:t>
      </w:r>
      <w:r>
        <w:rPr>
          <w:rFonts w:ascii="Times New Roman" w:eastAsia="Times New Roman" w:hAnsi="Times New Roman" w:cs="Times New Roman"/>
          <w:sz w:val="24"/>
          <w:szCs w:val="24"/>
        </w:rPr>
        <w:t xml:space="preserve">editorial ou da pessoa do editor; o senso de comunitarismo; e o combate ao menticídio, conforme definido por Abdias do Nascimento (1980). </w:t>
      </w: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b/>
          <w:sz w:val="24"/>
          <w:szCs w:val="24"/>
        </w:rPr>
        <w:t xml:space="preserve">4. Quilombismo editorial e </w:t>
      </w:r>
      <w:r>
        <w:rPr>
          <w:rFonts w:ascii="Times New Roman" w:eastAsia="Times New Roman" w:hAnsi="Times New Roman" w:cs="Times New Roman"/>
          <w:b/>
          <w:i/>
          <w:sz w:val="24"/>
          <w:szCs w:val="24"/>
        </w:rPr>
        <w:t>ethos</w:t>
      </w:r>
      <w:r>
        <w:rPr>
          <w:rFonts w:ascii="Times New Roman" w:eastAsia="Times New Roman" w:hAnsi="Times New Roman" w:cs="Times New Roman"/>
          <w:b/>
          <w:sz w:val="24"/>
          <w:szCs w:val="24"/>
        </w:rPr>
        <w:t xml:space="preserve"> discursivo: articulações</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 xml:space="preserve">Conforme apontamos, as estratégias de configuração do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de natureza quilombola, a que este trabalho faz menção, subdividem-se em três categorias, as quais chamamos de elementos fiadores do discurso. São elas: a) construção da credibilidade da casa ou pessoa do editor; b) o senso comunitarista; </w:t>
      </w:r>
      <w:r>
        <w:rPr>
          <w:rFonts w:ascii="Times New Roman" w:eastAsia="Times New Roman" w:hAnsi="Times New Roman" w:cs="Times New Roman"/>
          <w:sz w:val="24"/>
          <w:szCs w:val="24"/>
        </w:rPr>
        <w:t xml:space="preserve">c) o combate ao menticídio. As três categorias de construção do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aqui tratado situam-se, vale lembrar, tanto na dimensão pré-discursiva, por meio da partilha do imaginário prévio que se espera de uma casa editorial e da figura do editor; quanto na dim</w:t>
      </w:r>
      <w:r>
        <w:rPr>
          <w:rFonts w:ascii="Times New Roman" w:eastAsia="Times New Roman" w:hAnsi="Times New Roman" w:cs="Times New Roman"/>
          <w:sz w:val="24"/>
          <w:szCs w:val="24"/>
        </w:rPr>
        <w:t xml:space="preserve">ensão discursiva, seja ela de maneira mostrada imageticamente ou propriamente dita em linguagem verbal. Gostaríamos de enfatizar que as categorias aqui elencadas articulam-se entre si no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quilombola. Não é viável pensar as estratégias de maneira estan</w:t>
      </w:r>
      <w:r>
        <w:rPr>
          <w:rFonts w:ascii="Times New Roman" w:eastAsia="Times New Roman" w:hAnsi="Times New Roman" w:cs="Times New Roman"/>
          <w:sz w:val="24"/>
          <w:szCs w:val="24"/>
        </w:rPr>
        <w:t xml:space="preserve">que, sob o risco de se perder justamente </w:t>
      </w:r>
      <w:r>
        <w:rPr>
          <w:rFonts w:ascii="Times New Roman" w:eastAsia="Times New Roman" w:hAnsi="Times New Roman" w:cs="Times New Roman"/>
          <w:i/>
          <w:sz w:val="24"/>
          <w:szCs w:val="24"/>
        </w:rPr>
        <w:t>a articulação necessária</w:t>
      </w:r>
      <w:r>
        <w:rPr>
          <w:rFonts w:ascii="Times New Roman" w:eastAsia="Times New Roman" w:hAnsi="Times New Roman" w:cs="Times New Roman"/>
          <w:sz w:val="24"/>
          <w:szCs w:val="24"/>
        </w:rPr>
        <w:t xml:space="preserve"> entre elas, o que, aliás, é a essência do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que queremos melhor compreender.</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A ancoragem em </w:t>
      </w:r>
      <w:r>
        <w:rPr>
          <w:rFonts w:ascii="Times New Roman" w:eastAsia="Times New Roman" w:hAnsi="Times New Roman" w:cs="Times New Roman"/>
          <w:b/>
          <w:sz w:val="24"/>
          <w:szCs w:val="24"/>
        </w:rPr>
        <w:t>elementos fiadores do discurso</w:t>
      </w:r>
      <w:r>
        <w:rPr>
          <w:rFonts w:ascii="Times New Roman" w:eastAsia="Times New Roman" w:hAnsi="Times New Roman" w:cs="Times New Roman"/>
          <w:sz w:val="24"/>
          <w:szCs w:val="24"/>
        </w:rPr>
        <w:t xml:space="preserve"> leva em conta a manifestação discursiva do enunciador, no caso,</w:t>
      </w:r>
      <w:r>
        <w:rPr>
          <w:rFonts w:ascii="Times New Roman" w:eastAsia="Times New Roman" w:hAnsi="Times New Roman" w:cs="Times New Roman"/>
          <w:sz w:val="24"/>
          <w:szCs w:val="24"/>
        </w:rPr>
        <w:t xml:space="preserve"> o site da editora Mazza. O discurso procura ratificar a dimensão subjetiva do enunciador, ainda que institucional, de maneira a estabelecer identidade imediata com aquele que lê. Pronomes de tratamentos em primeira pessoa fazem parte da estratégia enuncia</w:t>
      </w:r>
      <w:r>
        <w:rPr>
          <w:rFonts w:ascii="Times New Roman" w:eastAsia="Times New Roman" w:hAnsi="Times New Roman" w:cs="Times New Roman"/>
          <w:sz w:val="24"/>
          <w:szCs w:val="24"/>
        </w:rPr>
        <w:t>tiva. A editora procura ratificar seu caráter independente e elencar as suas ações voltadas à mediação cultural. Não são raras as casas de publicação que organizam concursos literários, produzem antologias, viabilizam revistas impressas ou digitais, amplia</w:t>
      </w:r>
      <w:r>
        <w:rPr>
          <w:rFonts w:ascii="Times New Roman" w:eastAsia="Times New Roman" w:hAnsi="Times New Roman" w:cs="Times New Roman"/>
          <w:sz w:val="24"/>
          <w:szCs w:val="24"/>
        </w:rPr>
        <w:t xml:space="preserve">m seus canais de interação com os leitores pela internet, tudo isso no afã de reconectar edição e leitor. Os elementos fiadores podem também recorrer a um imaginário cultural previamente partilhado entre editora e leitor. Leitor e editor aqui se equiparam </w:t>
      </w:r>
      <w:r>
        <w:rPr>
          <w:rFonts w:ascii="Times New Roman" w:eastAsia="Times New Roman" w:hAnsi="Times New Roman" w:cs="Times New Roman"/>
          <w:sz w:val="24"/>
          <w:szCs w:val="24"/>
        </w:rPr>
        <w:t>como agentes transformadores do campo editorial e cultural, cada um ao seu modo. Além disso, são convocados, assim, escritores e figuras decisivas para a trajetória do povo afrodescendente, resultado tanto da partilha do senso comunitarista quanto do comba</w:t>
      </w:r>
      <w:r>
        <w:rPr>
          <w:rFonts w:ascii="Times New Roman" w:eastAsia="Times New Roman" w:hAnsi="Times New Roman" w:cs="Times New Roman"/>
          <w:sz w:val="24"/>
          <w:szCs w:val="24"/>
        </w:rPr>
        <w:t>te ao menticídio, conforme veremos a seguir.</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A </w:t>
      </w:r>
      <w:r>
        <w:rPr>
          <w:rFonts w:ascii="Times New Roman" w:eastAsia="Times New Roman" w:hAnsi="Times New Roman" w:cs="Times New Roman"/>
          <w:b/>
          <w:sz w:val="24"/>
          <w:szCs w:val="24"/>
        </w:rPr>
        <w:t>credibilidade da casa editorial ou da pessoa do editor</w:t>
      </w:r>
      <w:r>
        <w:rPr>
          <w:rFonts w:ascii="Times New Roman" w:eastAsia="Times New Roman" w:hAnsi="Times New Roman" w:cs="Times New Roman"/>
          <w:sz w:val="24"/>
          <w:szCs w:val="24"/>
        </w:rPr>
        <w:t xml:space="preserve"> é construída por meio do destaque conferido a determinadas imagens e representações, verbais e não verbais, do editor, entendido como pessoa física, ou ca</w:t>
      </w:r>
      <w:r>
        <w:rPr>
          <w:rFonts w:ascii="Times New Roman" w:eastAsia="Times New Roman" w:hAnsi="Times New Roman" w:cs="Times New Roman"/>
          <w:sz w:val="24"/>
          <w:szCs w:val="24"/>
        </w:rPr>
        <w:t>sa de publicação. As credenciais da pessoa que edita são colocadas em relevo. Aspectos da biografia, tais como formação e experiência, são articuladas com a identidade negra e ganham significativo destaque nas páginas de apresentação das editoras. A casa e</w:t>
      </w:r>
      <w:r>
        <w:rPr>
          <w:rFonts w:ascii="Times New Roman" w:eastAsia="Times New Roman" w:hAnsi="Times New Roman" w:cs="Times New Roman"/>
          <w:sz w:val="24"/>
          <w:szCs w:val="24"/>
        </w:rPr>
        <w:t>ditorial também é representada como lugar de abrigo ou acolhida aos discursos do povo negro. Estas estratégias estão amparadas pelo imaginário social prévio acerca do editor como instância de “decisão e comando”, isto é, aquele que “decide que textos vão s</w:t>
      </w:r>
      <w:r>
        <w:rPr>
          <w:rFonts w:ascii="Times New Roman" w:eastAsia="Times New Roman" w:hAnsi="Times New Roman" w:cs="Times New Roman"/>
          <w:sz w:val="24"/>
          <w:szCs w:val="24"/>
        </w:rPr>
        <w:t>er transformados em livros, pensando em determinado público” (BRAGANÇA, 2005, p. 224). Ainda que as funções de um editor ou de uma casa editorial não se resumam apenas às demandas relativas à publicação de textos, essas são as imagens correntes em nossa so</w:t>
      </w:r>
      <w:r>
        <w:rPr>
          <w:rFonts w:ascii="Times New Roman" w:eastAsia="Times New Roman" w:hAnsi="Times New Roman" w:cs="Times New Roman"/>
          <w:sz w:val="24"/>
          <w:szCs w:val="24"/>
        </w:rPr>
        <w:t>ciedade quando o assunto é a figura do editor ou de uma casa editorial.</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O </w:t>
      </w:r>
      <w:r>
        <w:rPr>
          <w:rFonts w:ascii="Times New Roman" w:eastAsia="Times New Roman" w:hAnsi="Times New Roman" w:cs="Times New Roman"/>
          <w:b/>
          <w:sz w:val="24"/>
          <w:szCs w:val="24"/>
        </w:rPr>
        <w:t>senso comunitarista</w:t>
      </w:r>
      <w:r>
        <w:rPr>
          <w:rFonts w:ascii="Times New Roman" w:eastAsia="Times New Roman" w:hAnsi="Times New Roman" w:cs="Times New Roman"/>
          <w:sz w:val="24"/>
          <w:szCs w:val="24"/>
        </w:rPr>
        <w:t xml:space="preserve"> significa estabelecimento de imediata conexão identitária entre o enunciador e o destinatário da mensagem. Enunciador e auditório fazem parte uma comunidade ident</w:t>
      </w:r>
      <w:r>
        <w:rPr>
          <w:rFonts w:ascii="Times New Roman" w:eastAsia="Times New Roman" w:hAnsi="Times New Roman" w:cs="Times New Roman"/>
          <w:sz w:val="24"/>
          <w:szCs w:val="24"/>
        </w:rPr>
        <w:t>itária, a qual o discurso procura fazer referência. A enunciação das editoras inclui o leitor no horizonte de representação/enunciação por meio de imagens (não verbais e verbais) em que a pluralidade negra seja destaque. Do ponto de vista das imagens não v</w:t>
      </w:r>
      <w:r>
        <w:rPr>
          <w:rFonts w:ascii="Times New Roman" w:eastAsia="Times New Roman" w:hAnsi="Times New Roman" w:cs="Times New Roman"/>
          <w:sz w:val="24"/>
          <w:szCs w:val="24"/>
        </w:rPr>
        <w:t xml:space="preserve">erbais, predominam fotos e ilustrações em que a coletividade negra esteja em primeiro plano. Já do ponto de vista das imagens verbais </w:t>
      </w:r>
      <w:r>
        <w:t>–</w:t>
      </w:r>
      <w:r>
        <w:rPr>
          <w:rFonts w:ascii="Times New Roman" w:eastAsia="Times New Roman" w:hAnsi="Times New Roman" w:cs="Times New Roman"/>
          <w:sz w:val="24"/>
          <w:szCs w:val="24"/>
        </w:rPr>
        <w:t xml:space="preserve"> foco do nosso interesse aqui </w:t>
      </w:r>
      <w:r>
        <w:t>–</w:t>
      </w:r>
      <w:r>
        <w:rPr>
          <w:rFonts w:ascii="Times New Roman" w:eastAsia="Times New Roman" w:hAnsi="Times New Roman" w:cs="Times New Roman"/>
          <w:sz w:val="24"/>
          <w:szCs w:val="24"/>
        </w:rPr>
        <w:t xml:space="preserve"> é recorrente o uso da primeira pessoa do plural. Resguardando limites e proporções, metaf</w:t>
      </w:r>
      <w:r>
        <w:rPr>
          <w:rFonts w:ascii="Times New Roman" w:eastAsia="Times New Roman" w:hAnsi="Times New Roman" w:cs="Times New Roman"/>
          <w:sz w:val="24"/>
          <w:szCs w:val="24"/>
        </w:rPr>
        <w:t xml:space="preserve">oricamente, o senso comunitarista, neste contexto, significa reavivar o sentido quilombola da resistência coletiva, ou seja, do agrupamento ou reunião de forças para o exercício de sobrevivência. As estratégias </w:t>
      </w:r>
      <w:r>
        <w:rPr>
          <w:rFonts w:ascii="Times New Roman" w:eastAsia="Times New Roman" w:hAnsi="Times New Roman" w:cs="Times New Roman"/>
          <w:sz w:val="24"/>
          <w:szCs w:val="24"/>
        </w:rPr>
        <w:lastRenderedPageBreak/>
        <w:t>enunciativas, portanto, estão pautadas na mem</w:t>
      </w:r>
      <w:r>
        <w:rPr>
          <w:rFonts w:ascii="Times New Roman" w:eastAsia="Times New Roman" w:hAnsi="Times New Roman" w:cs="Times New Roman"/>
          <w:sz w:val="24"/>
          <w:szCs w:val="24"/>
        </w:rPr>
        <w:t>ória histórica partilhada pelo coletivo afrodiaspórico, uma vez que a enunciação do site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da Mazza Edições espera, num primeiro momento, que o auditório seja preferencialmente negro. São também convocadas reflexões acerca do colonialismo e suas ressonâncias</w:t>
      </w:r>
      <w:r>
        <w:rPr>
          <w:rFonts w:ascii="Times New Roman" w:eastAsia="Times New Roman" w:hAnsi="Times New Roman" w:cs="Times New Roman"/>
          <w:sz w:val="24"/>
          <w:szCs w:val="24"/>
        </w:rPr>
        <w:t xml:space="preserve"> na estruturação da sociedade brasileira. Assim, as vivências afrodiaspóricas fazem-se presentes e partilhadas pelos participantes do ato comunicativo pressuposto pelo portal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da editora. </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O </w:t>
      </w:r>
      <w:r>
        <w:rPr>
          <w:rFonts w:ascii="Times New Roman" w:eastAsia="Times New Roman" w:hAnsi="Times New Roman" w:cs="Times New Roman"/>
          <w:b/>
          <w:sz w:val="24"/>
          <w:szCs w:val="24"/>
        </w:rPr>
        <w:t>combate ao menticídio</w:t>
      </w:r>
      <w:r>
        <w:rPr>
          <w:rFonts w:ascii="Times New Roman" w:eastAsia="Times New Roman" w:hAnsi="Times New Roman" w:cs="Times New Roman"/>
          <w:sz w:val="24"/>
          <w:szCs w:val="24"/>
        </w:rPr>
        <w:t xml:space="preserve"> advém da consciência do apagamento dos s</w:t>
      </w:r>
      <w:r>
        <w:rPr>
          <w:rFonts w:ascii="Times New Roman" w:eastAsia="Times New Roman" w:hAnsi="Times New Roman" w:cs="Times New Roman"/>
          <w:sz w:val="24"/>
          <w:szCs w:val="24"/>
        </w:rPr>
        <w:t>aberes afrodiaspóricos nos territórios que passaram pela colonização e em que alastra o racismo cotidiano. A editora Mazza estabelece discursos contrários ao racismo e à discriminação, ao mesmo tempo em que coloca em primeiro plano a produção do saber afro</w:t>
      </w:r>
      <w:r>
        <w:rPr>
          <w:rFonts w:ascii="Times New Roman" w:eastAsia="Times New Roman" w:hAnsi="Times New Roman" w:cs="Times New Roman"/>
          <w:sz w:val="24"/>
          <w:szCs w:val="24"/>
        </w:rPr>
        <w:t>descendente. Conforme explica Abdias do Nascimento (1980), o menticídio não é o mesmo que epistemicídio. Este termo pressupõe uma razão ocidental pautada por normativas e operações racionalizadas de origem eurocêntrica. No âmbito das humanidades, a noção d</w:t>
      </w:r>
      <w:r>
        <w:rPr>
          <w:rFonts w:ascii="Times New Roman" w:eastAsia="Times New Roman" w:hAnsi="Times New Roman" w:cs="Times New Roman"/>
          <w:sz w:val="24"/>
          <w:szCs w:val="24"/>
        </w:rPr>
        <w:t>e episteme pressupõe o método como universal e aplicável a diversos contextos. Sabemos, por outro lado, que nenhum conhecimento é totalmente neutro. A universalidade é uma particularidade eleita dentre possibilidades de compreensão de um fenômeno. E, por s</w:t>
      </w:r>
      <w:r>
        <w:rPr>
          <w:rFonts w:ascii="Times New Roman" w:eastAsia="Times New Roman" w:hAnsi="Times New Roman" w:cs="Times New Roman"/>
          <w:sz w:val="24"/>
          <w:szCs w:val="24"/>
        </w:rPr>
        <w:t>ua vez, as instâncias formuladoras do conhecimento são processo e produto também da “racialização” das sociedades. O que queremos dizer com racialização é que as instâncias formuladoras e ratificadoras do saber possuem cor, origem econômica e interesses pr</w:t>
      </w:r>
      <w:r>
        <w:rPr>
          <w:rFonts w:ascii="Times New Roman" w:eastAsia="Times New Roman" w:hAnsi="Times New Roman" w:cs="Times New Roman"/>
          <w:sz w:val="24"/>
          <w:szCs w:val="24"/>
        </w:rPr>
        <w:t xml:space="preserve">edefinidos. São ferramentas de controle social, as quais, de acordo com Abdias do Nascimento, exercem sobre o povo negro </w:t>
      </w:r>
    </w:p>
    <w:p w:rsidR="00D67A42" w:rsidRDefault="00D67A42">
      <w:pPr>
        <w:spacing w:after="0" w:line="240" w:lineRule="auto"/>
        <w:ind w:firstLine="708"/>
        <w:jc w:val="both"/>
        <w:rPr>
          <w:rFonts w:ascii="Times New Roman" w:eastAsia="Times New Roman" w:hAnsi="Times New Roman" w:cs="Times New Roman"/>
          <w:sz w:val="24"/>
          <w:szCs w:val="24"/>
        </w:rPr>
      </w:pPr>
    </w:p>
    <w:p w:rsidR="00D67A42" w:rsidRDefault="00F4783A">
      <w:pPr>
        <w:spacing w:after="0" w:line="240" w:lineRule="auto"/>
        <w:ind w:left="2268"/>
        <w:jc w:val="both"/>
      </w:pPr>
      <w:r>
        <w:rPr>
          <w:rFonts w:ascii="Times New Roman" w:eastAsia="Times New Roman" w:hAnsi="Times New Roman" w:cs="Times New Roman"/>
          <w:sz w:val="20"/>
          <w:szCs w:val="20"/>
        </w:rPr>
        <w:t>constante lavagem cerebral, visando entorpecer ou castrar sua capacidade de raciocínio. Esta tarefa vil quase não encontra obstáculo à sua frente, devido à situação de penúria, fome, degradação física e moral em que são mantidas as massas afro-brasileiras.</w:t>
      </w:r>
      <w:r>
        <w:rPr>
          <w:rFonts w:ascii="Times New Roman" w:eastAsia="Times New Roman" w:hAnsi="Times New Roman" w:cs="Times New Roman"/>
          <w:sz w:val="20"/>
          <w:szCs w:val="20"/>
        </w:rPr>
        <w:t xml:space="preserve"> Esta forma de menticídio contribui muito significativamente para o resultado ótimo buscado pela estratégia do seu aniquilamento total. (NASCIMENTO, 1980, p. 25).</w:t>
      </w:r>
    </w:p>
    <w:p w:rsidR="00D67A42" w:rsidRDefault="00D67A42">
      <w:pPr>
        <w:spacing w:after="0" w:line="240" w:lineRule="auto"/>
        <w:ind w:firstLine="708"/>
        <w:jc w:val="both"/>
        <w:rPr>
          <w:rFonts w:ascii="Times New Roman" w:eastAsia="Times New Roman" w:hAnsi="Times New Roman" w:cs="Times New Roman"/>
          <w:sz w:val="24"/>
          <w:szCs w:val="24"/>
        </w:rPr>
      </w:pPr>
    </w:p>
    <w:p w:rsidR="00D67A42" w:rsidRDefault="00D67A42">
      <w:pPr>
        <w:spacing w:after="0" w:line="240" w:lineRule="auto"/>
        <w:ind w:firstLine="708"/>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Esta eliminação, para o autor, é tanto de ordem física, quanto de ordem simbólica. Neste ca</w:t>
      </w:r>
      <w:r>
        <w:rPr>
          <w:rFonts w:ascii="Times New Roman" w:eastAsia="Times New Roman" w:hAnsi="Times New Roman" w:cs="Times New Roman"/>
          <w:sz w:val="24"/>
          <w:szCs w:val="24"/>
        </w:rPr>
        <w:t>so, entrariam em cena, nos espaços coloniais ou pós-coloniais, mecanismos de apagamento das memórias de África e da própria diáspora negra. Do ponto de vista da disseminação das ideias, a lógica não é diferente. Por isso, adotamos a terminologia “menticídi</w:t>
      </w:r>
      <w:r>
        <w:rPr>
          <w:rFonts w:ascii="Times New Roman" w:eastAsia="Times New Roman" w:hAnsi="Times New Roman" w:cs="Times New Roman"/>
          <w:sz w:val="24"/>
          <w:szCs w:val="24"/>
        </w:rPr>
        <w:t>o”.</w:t>
      </w:r>
    </w:p>
    <w:p w:rsidR="00D67A42" w:rsidRDefault="00F4783A">
      <w:pPr>
        <w:spacing w:after="0" w:line="240" w:lineRule="auto"/>
        <w:ind w:firstLine="708"/>
        <w:jc w:val="both"/>
      </w:pPr>
      <w:r>
        <w:rPr>
          <w:rFonts w:ascii="Times New Roman" w:eastAsia="Times New Roman" w:hAnsi="Times New Roman" w:cs="Times New Roman"/>
          <w:sz w:val="24"/>
          <w:szCs w:val="24"/>
        </w:rPr>
        <w:t>Quando Abdias do Nascimento utilizou o termo menticídio, aliás, ele se referia ao combate a qualquer tentativa de bloqueio à expressividade do sujeito negro desde dentro. Pode parecer pouco, mas não é. Num universo editorial onde predominam as editoras</w:t>
      </w:r>
      <w:r>
        <w:rPr>
          <w:rFonts w:ascii="Times New Roman" w:eastAsia="Times New Roman" w:hAnsi="Times New Roman" w:cs="Times New Roman"/>
          <w:sz w:val="24"/>
          <w:szCs w:val="24"/>
        </w:rPr>
        <w:t xml:space="preserve"> e os autores de pele clara</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tomar a palavra e garantir espaço de produção e circulação de sujeitos negros significa a passagem de horizonte de representação a horizonte de enunciação e, portanto, alteração do estado de coisas: de objeto a sujeito. O comb</w:t>
      </w:r>
      <w:r>
        <w:rPr>
          <w:rFonts w:ascii="Times New Roman" w:eastAsia="Times New Roman" w:hAnsi="Times New Roman" w:cs="Times New Roman"/>
          <w:sz w:val="24"/>
          <w:szCs w:val="24"/>
        </w:rPr>
        <w:t xml:space="preserve">ate ao menticídio, neste sentido, significa também a guerra contra o silenciamento do produtor cultural/editor negro, entendido em sentido amplo. </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Na próxima seção, portanto, analisaremos o site da Mazza Edições e como ele estrutura seu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de natureza quilombola. </w:t>
      </w: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b/>
          <w:sz w:val="24"/>
          <w:szCs w:val="24"/>
        </w:rPr>
        <w:t>5. (O site da) Mazza Edições</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lastRenderedPageBreak/>
        <w:t xml:space="preserve">O site da Mazza Edições (https://www.mazzaedicoes.com.br) é um dos que melhor encena o que chamamos de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quilombola. No portal </w:t>
      </w:r>
      <w:r>
        <w:rPr>
          <w:rFonts w:ascii="Times New Roman" w:eastAsia="Times New Roman" w:hAnsi="Times New Roman" w:cs="Times New Roman"/>
          <w:i/>
          <w:sz w:val="24"/>
          <w:szCs w:val="24"/>
        </w:rPr>
        <w:t>web</w:t>
      </w:r>
      <w:r>
        <w:rPr>
          <w:rFonts w:ascii="Times New Roman" w:eastAsia="Times New Roman" w:hAnsi="Times New Roman" w:cs="Times New Roman"/>
          <w:sz w:val="24"/>
          <w:szCs w:val="24"/>
        </w:rPr>
        <w:t xml:space="preserve"> estão presentes os três elementos fiadores do discur</w:t>
      </w:r>
      <w:r>
        <w:rPr>
          <w:rFonts w:ascii="Times New Roman" w:eastAsia="Times New Roman" w:hAnsi="Times New Roman" w:cs="Times New Roman"/>
          <w:sz w:val="24"/>
          <w:szCs w:val="24"/>
        </w:rPr>
        <w:t xml:space="preserve">so. A aba “Editora” é responsável pela apresentação da casa editorial e da figura da editora (pessoa). </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sz w:val="24"/>
          <w:szCs w:val="24"/>
        </w:rPr>
        <w:t>Figura 2: Vista da entrada do site da Mazza Edições</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left="708" w:firstLine="708"/>
        <w:jc w:val="center"/>
      </w:pPr>
      <w:r>
        <w:rPr>
          <w:noProof/>
        </w:rPr>
        <w:drawing>
          <wp:inline distT="0" distB="0" distL="114300" distR="114300">
            <wp:extent cx="2901950" cy="122809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2901950" cy="1228090"/>
                    </a:xfrm>
                    <a:prstGeom prst="rect">
                      <a:avLst/>
                    </a:prstGeom>
                    <a:ln/>
                  </pic:spPr>
                </pic:pic>
              </a:graphicData>
            </a:graphic>
          </wp:inline>
        </w:drawing>
      </w:r>
    </w:p>
    <w:p w:rsidR="00D67A42" w:rsidRDefault="00F4783A">
      <w:pPr>
        <w:spacing w:after="0" w:line="240" w:lineRule="auto"/>
        <w:ind w:left="2124" w:firstLine="707"/>
        <w:rPr>
          <w:rFonts w:ascii="Times New Roman" w:eastAsia="Times New Roman" w:hAnsi="Times New Roman" w:cs="Times New Roman"/>
          <w:sz w:val="24"/>
          <w:szCs w:val="24"/>
        </w:rPr>
      </w:pPr>
      <w:r>
        <w:rPr>
          <w:noProof/>
        </w:rPr>
        <w:drawing>
          <wp:inline distT="0" distB="0" distL="114300" distR="114300">
            <wp:extent cx="2928620" cy="115951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928620" cy="1159510"/>
                    </a:xfrm>
                    <a:prstGeom prst="rect">
                      <a:avLst/>
                    </a:prstGeom>
                    <a:ln/>
                  </pic:spPr>
                </pic:pic>
              </a:graphicData>
            </a:graphic>
          </wp:inline>
        </w:drawing>
      </w:r>
    </w:p>
    <w:p w:rsidR="00D67A42" w:rsidRDefault="00F478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w:t>
      </w:r>
      <w:hyperlink r:id="rId10">
        <w:r>
          <w:rPr>
            <w:rFonts w:ascii="Times New Roman" w:eastAsia="Times New Roman" w:hAnsi="Times New Roman" w:cs="Times New Roman"/>
            <w:color w:val="000000"/>
            <w:sz w:val="24"/>
            <w:szCs w:val="24"/>
          </w:rPr>
          <w:t>https://mazzaedicoes.com.br/</w:t>
        </w:r>
      </w:hyperlink>
    </w:p>
    <w:p w:rsidR="00D67A42" w:rsidRDefault="00D67A42">
      <w:pPr>
        <w:spacing w:after="0" w:line="240" w:lineRule="auto"/>
        <w:ind w:firstLine="708"/>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A constru</w:t>
      </w:r>
      <w:r>
        <w:rPr>
          <w:rFonts w:ascii="Times New Roman" w:eastAsia="Times New Roman" w:hAnsi="Times New Roman" w:cs="Times New Roman"/>
          <w:sz w:val="24"/>
          <w:szCs w:val="24"/>
        </w:rPr>
        <w:t>ção da credibilidade leva em conta tanto a trajetória da casa, quanto a trajetória de sua editora e fundadora, Maria Mazarello. 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site afirma que a casa está em funcionamento ao longo de mais quarenta anos, “levando o melhor da cultura brasileira e afro-br</w:t>
      </w:r>
      <w:r>
        <w:rPr>
          <w:rFonts w:ascii="Times New Roman" w:eastAsia="Times New Roman" w:hAnsi="Times New Roman" w:cs="Times New Roman"/>
          <w:sz w:val="24"/>
          <w:szCs w:val="24"/>
        </w:rPr>
        <w:t>asileira aos seus leitores”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A editora, fundada em 1981, acompanhou as quatro últimas décadas da história recente do país. Ela testemunhou o final da ditadura, a redemocratização, a ascensão do neoliberalismo no Brasil, a eleição de um governo popular, o </w:t>
      </w:r>
      <w:r>
        <w:rPr>
          <w:rFonts w:ascii="Times New Roman" w:eastAsia="Times New Roman" w:hAnsi="Times New Roman" w:cs="Times New Roman"/>
          <w:sz w:val="24"/>
          <w:szCs w:val="24"/>
        </w:rPr>
        <w:t xml:space="preserve">“golpe” de 2016 e os atuais tempos incertos. Do ponto de vista de fatos decisivos para o coletivo negro, vale destacar o centenário da abolição da escravatura, a expansão de políticas de cotas, o combate ao racismo e o recrudescimento do conservadorismo e </w:t>
      </w:r>
      <w:r>
        <w:rPr>
          <w:rFonts w:ascii="Times New Roman" w:eastAsia="Times New Roman" w:hAnsi="Times New Roman" w:cs="Times New Roman"/>
          <w:sz w:val="24"/>
          <w:szCs w:val="24"/>
        </w:rPr>
        <w:t>do racismo nos últimos anos. No imaginário, a mensagem do site sugere que “a editora esteve sempre com você, leitor”</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nos principais acontecimentos do país e sempre a defender a causa negra. Ao mesmo tempo, o</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site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destaca o pioneirismo e o preparo da sua </w:t>
      </w:r>
      <w:r>
        <w:rPr>
          <w:rFonts w:ascii="Times New Roman" w:eastAsia="Times New Roman" w:hAnsi="Times New Roman" w:cs="Times New Roman"/>
          <w:sz w:val="24"/>
          <w:szCs w:val="24"/>
        </w:rPr>
        <w:t xml:space="preserve">fundadora, Maria Mazarello, para a função. Essa experiência passa por vivências editoriais anteriores e pela formação no exterior. </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3: Aba Maria Mazarello</w:t>
      </w:r>
      <w:r>
        <w:rPr>
          <w:rFonts w:ascii="Times New Roman" w:eastAsia="Times New Roman" w:hAnsi="Times New Roman" w:cs="Times New Roman"/>
          <w:sz w:val="24"/>
          <w:szCs w:val="24"/>
          <w:vertAlign w:val="superscript"/>
        </w:rPr>
        <w:footnoteReference w:id="6"/>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center"/>
        <w:rPr>
          <w:rFonts w:ascii="Times New Roman" w:eastAsia="Times New Roman" w:hAnsi="Times New Roman" w:cs="Times New Roman"/>
          <w:sz w:val="24"/>
          <w:szCs w:val="24"/>
        </w:rPr>
      </w:pPr>
      <w:r>
        <w:rPr>
          <w:noProof/>
        </w:rPr>
        <w:lastRenderedPageBreak/>
        <w:drawing>
          <wp:inline distT="0" distB="0" distL="114300" distR="114300">
            <wp:extent cx="3602355" cy="172339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3602355" cy="1723390"/>
                    </a:xfrm>
                    <a:prstGeom prst="rect">
                      <a:avLst/>
                    </a:prstGeom>
                    <a:ln/>
                  </pic:spPr>
                </pic:pic>
              </a:graphicData>
            </a:graphic>
          </wp:inline>
        </w:drawing>
      </w:r>
    </w:p>
    <w:p w:rsidR="00D67A42" w:rsidRDefault="00F4783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Fonte: </w:t>
      </w:r>
      <w:hyperlink r:id="rId12">
        <w:r>
          <w:rPr>
            <w:rFonts w:ascii="Times New Roman" w:eastAsia="Times New Roman" w:hAnsi="Times New Roman" w:cs="Times New Roman"/>
            <w:color w:val="000000"/>
            <w:sz w:val="24"/>
            <w:szCs w:val="24"/>
          </w:rPr>
          <w:t>https://mazzaedicoes.com.br/</w:t>
        </w:r>
      </w:hyperlink>
    </w:p>
    <w:p w:rsidR="00D67A42" w:rsidRDefault="00D67A42">
      <w:pPr>
        <w:spacing w:after="0" w:line="240" w:lineRule="auto"/>
        <w:ind w:left="2268"/>
        <w:jc w:val="both"/>
        <w:rPr>
          <w:rFonts w:ascii="Times New Roman" w:eastAsia="Times New Roman" w:hAnsi="Times New Roman" w:cs="Times New Roman"/>
          <w:sz w:val="20"/>
          <w:szCs w:val="20"/>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A credibilidade, portanto, acena para a imagem do editor como aquele que autoriza o  que deve ou não circular na cena pública, porque testemunha os fatos marcantes do país. A imagem do editor (</w:t>
      </w:r>
      <w:r>
        <w:rPr>
          <w:rFonts w:ascii="Times New Roman" w:eastAsia="Times New Roman" w:hAnsi="Times New Roman" w:cs="Times New Roman"/>
          <w:i/>
          <w:sz w:val="24"/>
          <w:szCs w:val="24"/>
        </w:rPr>
        <w:t xml:space="preserve">ethos </w:t>
      </w:r>
      <w:r>
        <w:rPr>
          <w:rFonts w:ascii="Times New Roman" w:eastAsia="Times New Roman" w:hAnsi="Times New Roman" w:cs="Times New Roman"/>
          <w:sz w:val="24"/>
          <w:szCs w:val="24"/>
        </w:rPr>
        <w:t>pré-discursivo), partilhada no imaginário nacional, é fun</w:t>
      </w:r>
      <w:r>
        <w:rPr>
          <w:rFonts w:ascii="Times New Roman" w:eastAsia="Times New Roman" w:hAnsi="Times New Roman" w:cs="Times New Roman"/>
          <w:sz w:val="24"/>
          <w:szCs w:val="24"/>
        </w:rPr>
        <w:t>damental para o estabelecimento de identidade entre enunciador e auditório. Já o</w:t>
      </w:r>
      <w:r>
        <w:rPr>
          <w:rFonts w:ascii="Times New Roman" w:eastAsia="Times New Roman" w:hAnsi="Times New Roman" w:cs="Times New Roman"/>
          <w:i/>
          <w:sz w:val="24"/>
          <w:szCs w:val="24"/>
        </w:rPr>
        <w:t xml:space="preserve"> ethos</w:t>
      </w:r>
      <w:r>
        <w:rPr>
          <w:rFonts w:ascii="Times New Roman" w:eastAsia="Times New Roman" w:hAnsi="Times New Roman" w:cs="Times New Roman"/>
          <w:sz w:val="24"/>
          <w:szCs w:val="24"/>
        </w:rPr>
        <w:t xml:space="preserve"> discursivo é construído pelas escolhas de signos decisivos para a confirmação da credibilidade da casa e da pessoa que edita: é “fundadora”, detentora de vasto “percurso</w:t>
      </w:r>
      <w:r>
        <w:rPr>
          <w:rFonts w:ascii="Times New Roman" w:eastAsia="Times New Roman" w:hAnsi="Times New Roman" w:cs="Times New Roman"/>
          <w:sz w:val="24"/>
          <w:szCs w:val="24"/>
        </w:rPr>
        <w:t xml:space="preserve"> intelectual e humano”, possui “experiência acumulada” e “testemunhou alguns dos principais acontecimentos da sociedade brasileira das últimas décadas”.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editorial quer se estabelecer como detentor de credibilidade, ou seja, a casa sabe onde está si</w:t>
      </w:r>
      <w:r>
        <w:rPr>
          <w:rFonts w:ascii="Times New Roman" w:eastAsia="Times New Roman" w:hAnsi="Times New Roman" w:cs="Times New Roman"/>
          <w:sz w:val="24"/>
          <w:szCs w:val="24"/>
        </w:rPr>
        <w:t xml:space="preserve">tuada e, logo, sabe o que faz. O discurso sugere que o testemunho da casa e da editora é partilhado com o leitor, com o qual procura estabelecer imediata identidade. Afinal, editora e leitor seriam processos e produtos dos referidos acontecimentos. </w:t>
      </w:r>
    </w:p>
    <w:p w:rsidR="00D67A42" w:rsidRDefault="00F4783A">
      <w:pPr>
        <w:spacing w:after="0" w:line="240" w:lineRule="auto"/>
        <w:ind w:firstLine="708"/>
        <w:jc w:val="both"/>
      </w:pPr>
      <w:r>
        <w:rPr>
          <w:rFonts w:ascii="Times New Roman" w:eastAsia="Times New Roman" w:hAnsi="Times New Roman" w:cs="Times New Roman"/>
          <w:sz w:val="24"/>
          <w:szCs w:val="24"/>
        </w:rPr>
        <w:t>E é ju</w:t>
      </w:r>
      <w:r>
        <w:rPr>
          <w:rFonts w:ascii="Times New Roman" w:eastAsia="Times New Roman" w:hAnsi="Times New Roman" w:cs="Times New Roman"/>
          <w:sz w:val="24"/>
          <w:szCs w:val="24"/>
        </w:rPr>
        <w:t xml:space="preserve">stamente por meio desta pretensa partilha de identidade que o </w:t>
      </w:r>
      <w:r>
        <w:rPr>
          <w:rFonts w:ascii="Times New Roman" w:eastAsia="Times New Roman" w:hAnsi="Times New Roman" w:cs="Times New Roman"/>
          <w:i/>
          <w:sz w:val="24"/>
          <w:szCs w:val="24"/>
        </w:rPr>
        <w:t>etho</w:t>
      </w:r>
      <w:r>
        <w:rPr>
          <w:rFonts w:ascii="Times New Roman" w:eastAsia="Times New Roman" w:hAnsi="Times New Roman" w:cs="Times New Roman"/>
          <w:sz w:val="24"/>
          <w:szCs w:val="24"/>
        </w:rPr>
        <w:t>s editorial de natureza quilombola, construído pela Mazza Edições, procura estabelecer o senso de comunitarismo. Os elementos não verbais e verbais atuam neste sentido. Nosso foco, como diss</w:t>
      </w:r>
      <w:r>
        <w:rPr>
          <w:rFonts w:ascii="Times New Roman" w:eastAsia="Times New Roman" w:hAnsi="Times New Roman" w:cs="Times New Roman"/>
          <w:sz w:val="24"/>
          <w:szCs w:val="24"/>
        </w:rPr>
        <w:t>emos, serão os elementos verbais. A casa editorial procura se aproximar dos leitores a partir da sugestão de que as pautas deles também são as da casa de publicação:</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4: Aba Editora</w:t>
      </w:r>
      <w:r>
        <w:rPr>
          <w:rFonts w:ascii="Times New Roman" w:eastAsia="Times New Roman" w:hAnsi="Times New Roman" w:cs="Times New Roman"/>
          <w:sz w:val="24"/>
          <w:szCs w:val="24"/>
          <w:vertAlign w:val="superscript"/>
        </w:rPr>
        <w:footnoteReference w:id="7"/>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center"/>
        <w:rPr>
          <w:rFonts w:ascii="Times New Roman" w:eastAsia="Times New Roman" w:hAnsi="Times New Roman" w:cs="Times New Roman"/>
          <w:sz w:val="24"/>
          <w:szCs w:val="24"/>
        </w:rPr>
      </w:pPr>
      <w:r>
        <w:rPr>
          <w:noProof/>
        </w:rPr>
        <w:drawing>
          <wp:inline distT="0" distB="0" distL="114300" distR="114300">
            <wp:extent cx="2929890" cy="195072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2929890" cy="1950720"/>
                    </a:xfrm>
                    <a:prstGeom prst="rect">
                      <a:avLst/>
                    </a:prstGeom>
                    <a:ln/>
                  </pic:spPr>
                </pic:pic>
              </a:graphicData>
            </a:graphic>
          </wp:inline>
        </w:drawing>
      </w:r>
    </w:p>
    <w:p w:rsidR="00D67A42" w:rsidRDefault="00F478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w:t>
      </w:r>
      <w:hyperlink r:id="rId14">
        <w:r>
          <w:rPr>
            <w:rFonts w:ascii="Times New Roman" w:eastAsia="Times New Roman" w:hAnsi="Times New Roman" w:cs="Times New Roman"/>
            <w:color w:val="000000"/>
            <w:sz w:val="24"/>
            <w:szCs w:val="24"/>
          </w:rPr>
          <w:t>https://</w:t>
        </w:r>
        <w:r>
          <w:rPr>
            <w:rFonts w:ascii="Times New Roman" w:eastAsia="Times New Roman" w:hAnsi="Times New Roman" w:cs="Times New Roman"/>
            <w:color w:val="000000"/>
            <w:sz w:val="24"/>
            <w:szCs w:val="24"/>
          </w:rPr>
          <w:t>mazzaedicoes.com.br/</w:t>
        </w:r>
      </w:hyperlink>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Ao afirmar que “o desejo de todos” faz da Mazza Edições não só uma editora, mas “uma casa de cultura viva”, o site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deixa entender a missão da empresa: atender aos anseios dos leitores. Entretanto, estes leitores, imaginados nos ester</w:t>
      </w:r>
      <w:r>
        <w:rPr>
          <w:rFonts w:ascii="Times New Roman" w:eastAsia="Times New Roman" w:hAnsi="Times New Roman" w:cs="Times New Roman"/>
          <w:sz w:val="24"/>
          <w:szCs w:val="24"/>
        </w:rPr>
        <w:t xml:space="preserve">eótipos/desejados pelo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pré-discursivo, possuem cor, trajetória, experiências e heranças culturais comuns. No imaginário discursivo, os leitores/clientes são prioritariamente negros. Os pontos de articulação de uma identidade comum – passado, presente</w:t>
      </w:r>
      <w:r>
        <w:rPr>
          <w:rFonts w:ascii="Times New Roman" w:eastAsia="Times New Roman" w:hAnsi="Times New Roman" w:cs="Times New Roman"/>
          <w:sz w:val="24"/>
          <w:szCs w:val="24"/>
        </w:rPr>
        <w:t xml:space="preserve"> e futuro – arregimentam o senso de comunitarismo. Afinal, a “casa de cultura viva”, como o texto afirma, só é possível porque já partilha de desejos entre enunciador (site da editora) e auditório (leitores/clientes).</w:t>
      </w:r>
    </w:p>
    <w:p w:rsidR="00D67A42" w:rsidRDefault="00F4783A">
      <w:pPr>
        <w:spacing w:after="0" w:line="240" w:lineRule="auto"/>
        <w:ind w:firstLine="708"/>
        <w:jc w:val="both"/>
      </w:pPr>
      <w:r>
        <w:rPr>
          <w:rFonts w:ascii="Times New Roman" w:eastAsia="Times New Roman" w:hAnsi="Times New Roman" w:cs="Times New Roman"/>
          <w:sz w:val="24"/>
          <w:szCs w:val="24"/>
        </w:rPr>
        <w:t>A consequência deste desejo comum é al</w:t>
      </w:r>
      <w:r>
        <w:rPr>
          <w:rFonts w:ascii="Times New Roman" w:eastAsia="Times New Roman" w:hAnsi="Times New Roman" w:cs="Times New Roman"/>
          <w:sz w:val="24"/>
          <w:szCs w:val="24"/>
        </w:rPr>
        <w:t>teração do estado de coisas que a vivacidade da casa pode provocar. Esta alteração pode ser entendida, nos termos deste estudo, como combate ao menticídio. Vejamos:</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Figura 5: Aba A Editora</w:t>
      </w:r>
      <w:r>
        <w:rPr>
          <w:rFonts w:ascii="Times New Roman" w:eastAsia="Times New Roman" w:hAnsi="Times New Roman" w:cs="Times New Roman"/>
          <w:sz w:val="24"/>
          <w:szCs w:val="24"/>
          <w:vertAlign w:val="superscript"/>
        </w:rPr>
        <w:footnoteReference w:id="8"/>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ind w:firstLine="708"/>
        <w:jc w:val="center"/>
        <w:rPr>
          <w:rFonts w:ascii="Times New Roman" w:eastAsia="Times New Roman" w:hAnsi="Times New Roman" w:cs="Times New Roman"/>
          <w:sz w:val="24"/>
          <w:szCs w:val="24"/>
        </w:rPr>
      </w:pPr>
      <w:r>
        <w:rPr>
          <w:noProof/>
        </w:rPr>
        <w:drawing>
          <wp:inline distT="0" distB="0" distL="114300" distR="114300">
            <wp:extent cx="4842510" cy="1131570"/>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4842510" cy="1131570"/>
                    </a:xfrm>
                    <a:prstGeom prst="rect">
                      <a:avLst/>
                    </a:prstGeom>
                    <a:ln/>
                  </pic:spPr>
                </pic:pic>
              </a:graphicData>
            </a:graphic>
          </wp:inline>
        </w:drawing>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Fonte: </w:t>
      </w:r>
      <w:hyperlink r:id="rId16">
        <w:r>
          <w:rPr>
            <w:rFonts w:ascii="Times New Roman" w:eastAsia="Times New Roman" w:hAnsi="Times New Roman" w:cs="Times New Roman"/>
            <w:color w:val="000000"/>
            <w:sz w:val="24"/>
            <w:szCs w:val="24"/>
          </w:rPr>
          <w:t>https:</w:t>
        </w:r>
        <w:r>
          <w:rPr>
            <w:rFonts w:ascii="Times New Roman" w:eastAsia="Times New Roman" w:hAnsi="Times New Roman" w:cs="Times New Roman"/>
            <w:color w:val="000000"/>
            <w:sz w:val="24"/>
            <w:szCs w:val="24"/>
          </w:rPr>
          <w:t>//mazzaedicoes.com.br/</w:t>
        </w:r>
      </w:hyperlink>
    </w:p>
    <w:p w:rsidR="00D67A42" w:rsidRDefault="00D67A42">
      <w:pPr>
        <w:spacing w:after="0" w:line="240" w:lineRule="auto"/>
        <w:ind w:firstLine="708"/>
        <w:jc w:val="both"/>
        <w:rPr>
          <w:rFonts w:ascii="Times New Roman" w:eastAsia="Times New Roman" w:hAnsi="Times New Roman" w:cs="Times New Roman"/>
          <w:sz w:val="24"/>
          <w:szCs w:val="24"/>
        </w:rPr>
      </w:pPr>
    </w:p>
    <w:p w:rsidR="00D67A42" w:rsidRDefault="00F4783A">
      <w:pPr>
        <w:spacing w:after="0" w:line="240" w:lineRule="auto"/>
        <w:ind w:firstLine="708"/>
        <w:jc w:val="both"/>
      </w:pPr>
      <w:r>
        <w:rPr>
          <w:rFonts w:ascii="Times New Roman" w:eastAsia="Times New Roman" w:hAnsi="Times New Roman" w:cs="Times New Roman"/>
          <w:sz w:val="24"/>
          <w:szCs w:val="24"/>
        </w:rPr>
        <w:t>A editora se coloca como defensora de valores essenciais para o desenvolvimento da sociedade: a ética, a justiça e a liberdade. Na visão da Mazza Edições, a ética se manifesta no catálogo, o qual não contém obras que contrariem os direitos humanos, por exe</w:t>
      </w:r>
      <w:r>
        <w:rPr>
          <w:rFonts w:ascii="Times New Roman" w:eastAsia="Times New Roman" w:hAnsi="Times New Roman" w:cs="Times New Roman"/>
          <w:sz w:val="24"/>
          <w:szCs w:val="24"/>
        </w:rPr>
        <w:t>mplo. A justiça advém de uma necessidade política de abrir espaços para a veiculação de uma vasta e diversa discursividade negra, relacionada “a um largo segmento das populações excluídas”</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dos meios simbólicos do poder no Brasil. A liberdade, assim, é consequência do desejo de justiça na cena cultural. </w:t>
      </w: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b/>
          <w:sz w:val="24"/>
          <w:szCs w:val="24"/>
        </w:rPr>
        <w:t>6. Considerações finais</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sz w:val="24"/>
          <w:szCs w:val="24"/>
        </w:rPr>
        <w:tab/>
        <w:t xml:space="preserve">Considerando os argumentos acima, é possível delinear as linhas essenciais do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de natureza qui</w:t>
      </w:r>
      <w:r>
        <w:rPr>
          <w:rFonts w:ascii="Times New Roman" w:eastAsia="Times New Roman" w:hAnsi="Times New Roman" w:cs="Times New Roman"/>
          <w:sz w:val="24"/>
          <w:szCs w:val="24"/>
        </w:rPr>
        <w:t>lombola, empreendido pela Mazza Edições, por meio de seu site institucional. Elementos fiadores do discurso procuram estabelecer identidade direta com o horizonte de recepção. Para isso, o discurso de apresentação da editora procura se amparar na memória h</w:t>
      </w:r>
      <w:r>
        <w:rPr>
          <w:rFonts w:ascii="Times New Roman" w:eastAsia="Times New Roman" w:hAnsi="Times New Roman" w:cs="Times New Roman"/>
          <w:sz w:val="24"/>
          <w:szCs w:val="24"/>
        </w:rPr>
        <w:t xml:space="preserve">istórica que ampara a experiência negra no Brasil. O leitor é “convocado” a se </w:t>
      </w:r>
      <w:r>
        <w:rPr>
          <w:rFonts w:ascii="Times New Roman" w:eastAsia="Times New Roman" w:hAnsi="Times New Roman" w:cs="Times New Roman"/>
          <w:sz w:val="24"/>
          <w:szCs w:val="24"/>
        </w:rPr>
        <w:lastRenderedPageBreak/>
        <w:t>engajar no projeto editorial da casa de publicação, a qual, por sua vez, tenta evidenciar que as demandas e anseios dos leitores serão contemplados no catálogo. Estratégias disc</w:t>
      </w:r>
      <w:r>
        <w:rPr>
          <w:rFonts w:ascii="Times New Roman" w:eastAsia="Times New Roman" w:hAnsi="Times New Roman" w:cs="Times New Roman"/>
          <w:sz w:val="24"/>
          <w:szCs w:val="24"/>
        </w:rPr>
        <w:t xml:space="preserve">ursivas e imagens pré-discursivas (estereótipos) ajudam a estabelecer a pretensa identidade “ideal” entre leitor e enunciador. </w:t>
      </w:r>
    </w:p>
    <w:p w:rsidR="00D67A42" w:rsidRDefault="00F4783A">
      <w:pPr>
        <w:spacing w:after="0" w:line="240" w:lineRule="auto"/>
        <w:ind w:firstLine="708"/>
        <w:jc w:val="both"/>
      </w:pPr>
      <w:r>
        <w:rPr>
          <w:rFonts w:ascii="Times New Roman" w:eastAsia="Times New Roman" w:hAnsi="Times New Roman" w:cs="Times New Roman"/>
          <w:sz w:val="24"/>
          <w:szCs w:val="24"/>
        </w:rPr>
        <w:t>A centralidade da casa em autores negros ratifica o vetor dos valores essenciais, ao mesmo tempo que aponta para a necessidade d</w:t>
      </w:r>
      <w:r>
        <w:rPr>
          <w:rFonts w:ascii="Times New Roman" w:eastAsia="Times New Roman" w:hAnsi="Times New Roman" w:cs="Times New Roman"/>
          <w:sz w:val="24"/>
          <w:szCs w:val="24"/>
        </w:rPr>
        <w:t>e combate ao menticídio. As áreas de publicação da editora, conforme seu site, abrangem Antropologia, Sociologia, História (práticas do sagrado, movimentos sociais e formação da historiografia brasileira), Educação (relações entre escola e sociedade, mater</w:t>
      </w:r>
      <w:r>
        <w:rPr>
          <w:rFonts w:ascii="Times New Roman" w:eastAsia="Times New Roman" w:hAnsi="Times New Roman" w:cs="Times New Roman"/>
          <w:sz w:val="24"/>
          <w:szCs w:val="24"/>
        </w:rPr>
        <w:t>ial didático e paradidático), Literatura Brasileira (prosa e poesia contemporâneas), Literatura Infantil e Infantojuvenil (coleções interativas e paradidáticas, livros de imagens). Por meio das áreas de atuação do catálogo, é evidente o desejo de atuação n</w:t>
      </w:r>
      <w:r>
        <w:rPr>
          <w:rFonts w:ascii="Times New Roman" w:eastAsia="Times New Roman" w:hAnsi="Times New Roman" w:cs="Times New Roman"/>
          <w:sz w:val="24"/>
          <w:szCs w:val="24"/>
        </w:rPr>
        <w:t xml:space="preserve">o universo simbólico e o consequente anseio de alteração do estado de coisas em nossa sociedade. Afinal, a editora procura atuar em áreas historicamente dominadas por atores brancos e por uma episteme branca.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assumido pela Mazza Edições, portanto, </w:t>
      </w:r>
      <w:r>
        <w:rPr>
          <w:rFonts w:ascii="Times New Roman" w:eastAsia="Times New Roman" w:hAnsi="Times New Roman" w:cs="Times New Roman"/>
          <w:sz w:val="24"/>
          <w:szCs w:val="24"/>
        </w:rPr>
        <w:t>representa um contraponto possível a este cenário calcado na branquitude.</w:t>
      </w:r>
    </w:p>
    <w:p w:rsidR="00D67A42" w:rsidRDefault="00F4783A">
      <w:pPr>
        <w:spacing w:after="0" w:line="240" w:lineRule="auto"/>
        <w:ind w:firstLine="708"/>
        <w:jc w:val="both"/>
      </w:pPr>
      <w:r>
        <w:rPr>
          <w:rFonts w:ascii="Times New Roman" w:eastAsia="Times New Roman" w:hAnsi="Times New Roman" w:cs="Times New Roman"/>
          <w:sz w:val="24"/>
          <w:szCs w:val="24"/>
        </w:rPr>
        <w:t xml:space="preserve">Além disso, o </w:t>
      </w:r>
      <w:r>
        <w:rPr>
          <w:rFonts w:ascii="Times New Roman" w:eastAsia="Times New Roman" w:hAnsi="Times New Roman" w:cs="Times New Roman"/>
          <w:i/>
          <w:sz w:val="24"/>
          <w:szCs w:val="24"/>
        </w:rPr>
        <w:t>ethos</w:t>
      </w:r>
      <w:r>
        <w:rPr>
          <w:rFonts w:ascii="Times New Roman" w:eastAsia="Times New Roman" w:hAnsi="Times New Roman" w:cs="Times New Roman"/>
          <w:sz w:val="24"/>
          <w:szCs w:val="24"/>
        </w:rPr>
        <w:t xml:space="preserve"> discursivo da Mazza Edições aposta no estabelecimento de um amplo senso de comunitarismo. Em primeiro lugar, conforme o site da editora, ela se tornou “referência</w:t>
      </w:r>
      <w:r>
        <w:rPr>
          <w:rFonts w:ascii="Times New Roman" w:eastAsia="Times New Roman" w:hAnsi="Times New Roman" w:cs="Times New Roman"/>
          <w:sz w:val="24"/>
          <w:szCs w:val="24"/>
        </w:rPr>
        <w:t xml:space="preserve"> nacional e internacional, na medida em que contribui para os debates acerca da diversidade sociocultural de nosso país”</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Significa dizer que ela não está sozinha na missão de difundir a expressividade negra. A editora conta com apoio de atores sociais br</w:t>
      </w:r>
      <w:r>
        <w:rPr>
          <w:rFonts w:ascii="Times New Roman" w:eastAsia="Times New Roman" w:hAnsi="Times New Roman" w:cs="Times New Roman"/>
          <w:sz w:val="24"/>
          <w:szCs w:val="24"/>
        </w:rPr>
        <w:t>asileiros e estrangeiros, isto é, de leitores. O mesmo vale para os autores, já que a casa possui nomes internacionais em seu catálogo. Assim, a discursividade do site sugere a Mazza como espaço para trânsito de demandas e discursos de uma vasta comunidade</w:t>
      </w:r>
      <w:r>
        <w:rPr>
          <w:rFonts w:ascii="Times New Roman" w:eastAsia="Times New Roman" w:hAnsi="Times New Roman" w:cs="Times New Roman"/>
          <w:sz w:val="24"/>
          <w:szCs w:val="24"/>
        </w:rPr>
        <w:t xml:space="preserve"> herdeira da diáspora. Aos modos de um quilombo, a Mazza Edições atua como território de lutas e reconexão com as raízes, ainda que perdidas. Espaço para livre trânsito de ideias e sujeitos. Local de vivência da negritude. Local de lutas contra a opressão </w:t>
      </w:r>
      <w:r>
        <w:rPr>
          <w:rFonts w:ascii="Times New Roman" w:eastAsia="Times New Roman" w:hAnsi="Times New Roman" w:cs="Times New Roman"/>
          <w:sz w:val="24"/>
          <w:szCs w:val="24"/>
        </w:rPr>
        <w:t>e, arriscaria dizer, de resistência ao racismo estrutural, justamente por meio da encenação de um</w:t>
      </w:r>
      <w:r>
        <w:rPr>
          <w:rFonts w:ascii="Times New Roman" w:eastAsia="Times New Roman" w:hAnsi="Times New Roman" w:cs="Times New Roman"/>
          <w:i/>
          <w:sz w:val="24"/>
          <w:szCs w:val="24"/>
        </w:rPr>
        <w:t xml:space="preserve"> ethos</w:t>
      </w:r>
      <w:r>
        <w:rPr>
          <w:rFonts w:ascii="Times New Roman" w:eastAsia="Times New Roman" w:hAnsi="Times New Roman" w:cs="Times New Roman"/>
          <w:sz w:val="24"/>
          <w:szCs w:val="24"/>
        </w:rPr>
        <w:t xml:space="preserve"> discursivo de natureza quilombola. </w:t>
      </w:r>
    </w:p>
    <w:p w:rsidR="00D67A42" w:rsidRDefault="00D67A42">
      <w:pPr>
        <w:spacing w:after="0" w:line="240" w:lineRule="auto"/>
        <w:ind w:firstLine="708"/>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after="0" w:line="240" w:lineRule="auto"/>
        <w:jc w:val="both"/>
      </w:pPr>
      <w:r>
        <w:rPr>
          <w:rFonts w:ascii="Times New Roman" w:eastAsia="Times New Roman" w:hAnsi="Times New Roman" w:cs="Times New Roman"/>
          <w:sz w:val="24"/>
          <w:szCs w:val="24"/>
        </w:rPr>
        <w:t>Agradecimento</w:t>
      </w:r>
    </w:p>
    <w:p w:rsidR="00D67A42" w:rsidRDefault="00D67A42">
      <w:pPr>
        <w:spacing w:after="0" w:line="240" w:lineRule="auto"/>
        <w:jc w:val="both"/>
        <w:rPr>
          <w:rFonts w:ascii="Times New Roman" w:eastAsia="Times New Roman" w:hAnsi="Times New Roman" w:cs="Times New Roman"/>
          <w:sz w:val="24"/>
          <w:szCs w:val="24"/>
        </w:rPr>
      </w:pPr>
    </w:p>
    <w:p w:rsidR="00D67A42" w:rsidRDefault="00F4783A">
      <w:pPr>
        <w:spacing w:line="240" w:lineRule="auto"/>
        <w:jc w:val="both"/>
      </w:pPr>
      <w:r>
        <w:rPr>
          <w:rFonts w:ascii="Times New Roman" w:eastAsia="Times New Roman" w:hAnsi="Times New Roman" w:cs="Times New Roman"/>
          <w:sz w:val="24"/>
          <w:szCs w:val="24"/>
        </w:rPr>
        <w:t>Agradeço à FAPEMIG pelo apoio financeiro que viabilizou esta pesquisa.</w:t>
      </w:r>
    </w:p>
    <w:p w:rsidR="00D67A42" w:rsidRDefault="00D67A4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D67A42" w:rsidRDefault="00D67A4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D67A42" w:rsidRDefault="00F4783A">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4"/>
          <w:szCs w:val="24"/>
        </w:rPr>
        <w:t>Referências</w:t>
      </w:r>
    </w:p>
    <w:p w:rsidR="00D67A42" w:rsidRDefault="00D67A4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D67A42" w:rsidRDefault="00F4783A">
      <w:pPr>
        <w:pBdr>
          <w:top w:val="nil"/>
          <w:left w:val="nil"/>
          <w:bottom w:val="nil"/>
          <w:right w:val="nil"/>
          <w:between w:val="nil"/>
        </w:pBdr>
        <w:spacing w:before="120" w:after="120" w:line="240" w:lineRule="auto"/>
        <w:jc w:val="both"/>
        <w:rPr>
          <w:color w:val="000000"/>
          <w:sz w:val="20"/>
          <w:szCs w:val="20"/>
        </w:rPr>
      </w:pPr>
      <w:r>
        <w:rPr>
          <w:rFonts w:ascii="Times New Roman" w:eastAsia="Times New Roman" w:hAnsi="Times New Roman" w:cs="Times New Roman"/>
          <w:color w:val="000000"/>
          <w:sz w:val="24"/>
          <w:szCs w:val="24"/>
        </w:rPr>
        <w:t xml:space="preserve">AMOSSY, R. (org.). </w:t>
      </w:r>
      <w:r>
        <w:rPr>
          <w:rFonts w:ascii="Times New Roman" w:eastAsia="Times New Roman" w:hAnsi="Times New Roman" w:cs="Times New Roman"/>
          <w:i/>
          <w:color w:val="000000"/>
          <w:sz w:val="24"/>
          <w:szCs w:val="24"/>
        </w:rPr>
        <w:t>Imagens de si no discurso</w:t>
      </w:r>
      <w:r>
        <w:rPr>
          <w:rFonts w:ascii="Times New Roman" w:eastAsia="Times New Roman" w:hAnsi="Times New Roman" w:cs="Times New Roman"/>
          <w:color w:val="000000"/>
          <w:sz w:val="24"/>
          <w:szCs w:val="24"/>
        </w:rPr>
        <w:t xml:space="preserve">: a construção do </w:t>
      </w:r>
      <w:r>
        <w:rPr>
          <w:rFonts w:ascii="Times New Roman" w:eastAsia="Times New Roman" w:hAnsi="Times New Roman" w:cs="Times New Roman"/>
          <w:i/>
          <w:color w:val="000000"/>
          <w:sz w:val="24"/>
          <w:szCs w:val="24"/>
        </w:rPr>
        <w:t>ethos</w:t>
      </w:r>
      <w:r>
        <w:rPr>
          <w:rFonts w:ascii="Times New Roman" w:eastAsia="Times New Roman" w:hAnsi="Times New Roman" w:cs="Times New Roman"/>
          <w:color w:val="000000"/>
          <w:sz w:val="24"/>
          <w:szCs w:val="24"/>
        </w:rPr>
        <w:t xml:space="preserve">. São Paulo: Contexto, 2008.ANDRADE, M. F.. A revolta de Carrancas: uma das rebeliões mais sangrentas da história da escravidão no Brasil.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FIGUEIREDO, L..</w:t>
      </w:r>
      <w:r>
        <w:rPr>
          <w:rFonts w:ascii="Times New Roman" w:eastAsia="Times New Roman" w:hAnsi="Times New Roman" w:cs="Times New Roman"/>
          <w:i/>
          <w:color w:val="000000"/>
          <w:sz w:val="24"/>
          <w:szCs w:val="24"/>
        </w:rPr>
        <w:t>A era da escravidão</w:t>
      </w:r>
      <w:r>
        <w:rPr>
          <w:rFonts w:ascii="Times New Roman" w:eastAsia="Times New Roman" w:hAnsi="Times New Roman" w:cs="Times New Roman"/>
          <w:color w:val="000000"/>
          <w:sz w:val="24"/>
          <w:szCs w:val="24"/>
        </w:rPr>
        <w:t xml:space="preserve">. Rio de Janeiro: Sabin, 2009. pp. 51-58. </w:t>
      </w:r>
    </w:p>
    <w:p w:rsidR="00D67A42" w:rsidRDefault="00F4783A">
      <w:pPr>
        <w:pBdr>
          <w:top w:val="nil"/>
          <w:left w:val="nil"/>
          <w:bottom w:val="nil"/>
          <w:right w:val="nil"/>
          <w:between w:val="nil"/>
        </w:pBdr>
        <w:spacing w:before="120" w:after="120" w:line="240" w:lineRule="auto"/>
        <w:jc w:val="both"/>
        <w:rPr>
          <w:color w:val="000000"/>
          <w:sz w:val="20"/>
          <w:szCs w:val="20"/>
        </w:rPr>
      </w:pPr>
      <w:r>
        <w:rPr>
          <w:rFonts w:ascii="Times New Roman" w:eastAsia="Times New Roman" w:hAnsi="Times New Roman" w:cs="Times New Roman"/>
          <w:color w:val="000000"/>
          <w:sz w:val="24"/>
          <w:szCs w:val="24"/>
        </w:rPr>
        <w:t xml:space="preserve">ANDRADE, M. F.. </w:t>
      </w:r>
      <w:r>
        <w:rPr>
          <w:rFonts w:ascii="Times New Roman" w:eastAsia="Times New Roman" w:hAnsi="Times New Roman" w:cs="Times New Roman"/>
          <w:i/>
          <w:color w:val="000000"/>
          <w:sz w:val="24"/>
          <w:szCs w:val="24"/>
        </w:rPr>
        <w:t>Elites regionais e a formação do Estado imperial</w:t>
      </w:r>
      <w:r>
        <w:rPr>
          <w:rFonts w:ascii="Times New Roman" w:eastAsia="Times New Roman" w:hAnsi="Times New Roman" w:cs="Times New Roman"/>
          <w:color w:val="000000"/>
          <w:sz w:val="24"/>
          <w:szCs w:val="24"/>
        </w:rPr>
        <w:t>: Minas Gerais – Campanha da Princesa (1799-1850). Rio de Janeiro: Arquivo Nacional, 2008</w:t>
      </w:r>
    </w:p>
    <w:p w:rsidR="00D67A42" w:rsidRDefault="00F4783A">
      <w:pPr>
        <w:pBdr>
          <w:top w:val="nil"/>
          <w:left w:val="nil"/>
          <w:bottom w:val="nil"/>
          <w:right w:val="nil"/>
          <w:between w:val="nil"/>
        </w:pBdr>
        <w:spacing w:before="120" w:after="120" w:line="240" w:lineRule="auto"/>
        <w:jc w:val="both"/>
        <w:rPr>
          <w:color w:val="000000"/>
          <w:sz w:val="20"/>
          <w:szCs w:val="20"/>
        </w:rPr>
      </w:pPr>
      <w:r>
        <w:rPr>
          <w:rFonts w:ascii="Times New Roman" w:eastAsia="Times New Roman" w:hAnsi="Times New Roman" w:cs="Times New Roman"/>
          <w:color w:val="000000"/>
          <w:sz w:val="24"/>
          <w:szCs w:val="24"/>
        </w:rPr>
        <w:t>BRAGANÇA, A.. Sobre o editor: notas para sua história.</w:t>
      </w:r>
      <w:r>
        <w:rPr>
          <w:rFonts w:ascii="Times New Roman" w:eastAsia="Times New Roman" w:hAnsi="Times New Roman" w:cs="Times New Roman"/>
          <w:i/>
          <w:color w:val="000000"/>
          <w:sz w:val="24"/>
          <w:szCs w:val="24"/>
        </w:rPr>
        <w:t xml:space="preserve"> Em Q</w:t>
      </w:r>
      <w:r>
        <w:rPr>
          <w:rFonts w:ascii="Times New Roman" w:eastAsia="Times New Roman" w:hAnsi="Times New Roman" w:cs="Times New Roman"/>
          <w:i/>
          <w:color w:val="000000"/>
          <w:sz w:val="24"/>
          <w:szCs w:val="24"/>
        </w:rPr>
        <w:t>uestão</w:t>
      </w:r>
      <w:r>
        <w:rPr>
          <w:rFonts w:ascii="Times New Roman" w:eastAsia="Times New Roman" w:hAnsi="Times New Roman" w:cs="Times New Roman"/>
          <w:color w:val="000000"/>
          <w:sz w:val="24"/>
          <w:szCs w:val="24"/>
        </w:rPr>
        <w:t xml:space="preserve">, Porto Alegre, v. 1, n. 2, p. 219-237, jul./dez. 2005. </w:t>
      </w:r>
    </w:p>
    <w:p w:rsidR="00D67A42" w:rsidRDefault="00F4783A">
      <w:pPr>
        <w:pBdr>
          <w:top w:val="nil"/>
          <w:left w:val="nil"/>
          <w:bottom w:val="nil"/>
          <w:right w:val="nil"/>
          <w:between w:val="nil"/>
        </w:pBdr>
        <w:spacing w:before="120" w:after="120" w:line="240" w:lineRule="auto"/>
        <w:jc w:val="both"/>
        <w:rPr>
          <w:color w:val="000000"/>
          <w:sz w:val="20"/>
          <w:szCs w:val="20"/>
        </w:rPr>
      </w:pPr>
      <w:r>
        <w:rPr>
          <w:rFonts w:ascii="Times New Roman" w:eastAsia="Times New Roman" w:hAnsi="Times New Roman" w:cs="Times New Roman"/>
          <w:color w:val="000000"/>
          <w:sz w:val="24"/>
          <w:szCs w:val="24"/>
        </w:rPr>
        <w:lastRenderedPageBreak/>
        <w:t xml:space="preserve">DALCASTAGNÈ, Regina. A personagem do romance brasileiro contemporâneo: 1990-2004. </w:t>
      </w:r>
      <w:r>
        <w:rPr>
          <w:rFonts w:ascii="Times New Roman" w:eastAsia="Times New Roman" w:hAnsi="Times New Roman" w:cs="Times New Roman"/>
          <w:i/>
          <w:color w:val="000000"/>
          <w:sz w:val="24"/>
          <w:szCs w:val="24"/>
        </w:rPr>
        <w:t>Estudos de literatura brasileira contemporânea</w:t>
      </w:r>
      <w:r>
        <w:rPr>
          <w:rFonts w:ascii="Times New Roman" w:eastAsia="Times New Roman" w:hAnsi="Times New Roman" w:cs="Times New Roman"/>
          <w:color w:val="000000"/>
          <w:sz w:val="24"/>
          <w:szCs w:val="24"/>
        </w:rPr>
        <w:t>. Brasília, v. 1, n. 26, p. 13-71, 2011.</w:t>
      </w:r>
    </w:p>
    <w:p w:rsidR="00D67A42" w:rsidRDefault="00F4783A">
      <w:pPr>
        <w:pBdr>
          <w:top w:val="nil"/>
          <w:left w:val="nil"/>
          <w:bottom w:val="nil"/>
          <w:right w:val="nil"/>
          <w:between w:val="nil"/>
        </w:pBdr>
        <w:spacing w:before="120" w:after="120" w:line="240" w:lineRule="auto"/>
        <w:jc w:val="both"/>
        <w:rPr>
          <w:color w:val="000000"/>
          <w:sz w:val="20"/>
          <w:szCs w:val="20"/>
        </w:rPr>
      </w:pPr>
      <w:r>
        <w:rPr>
          <w:rFonts w:ascii="Times New Roman" w:eastAsia="Times New Roman" w:hAnsi="Times New Roman" w:cs="Times New Roman"/>
          <w:color w:val="000000"/>
          <w:sz w:val="24"/>
          <w:szCs w:val="24"/>
        </w:rPr>
        <w:t xml:space="preserve">DALCASTAGNÈ, Regina. </w:t>
      </w:r>
      <w:r>
        <w:rPr>
          <w:rFonts w:ascii="Times New Roman" w:eastAsia="Times New Roman" w:hAnsi="Times New Roman" w:cs="Times New Roman"/>
          <w:i/>
          <w:color w:val="000000"/>
          <w:sz w:val="24"/>
          <w:szCs w:val="24"/>
        </w:rPr>
        <w:t>Lit</w:t>
      </w:r>
      <w:r>
        <w:rPr>
          <w:rFonts w:ascii="Times New Roman" w:eastAsia="Times New Roman" w:hAnsi="Times New Roman" w:cs="Times New Roman"/>
          <w:i/>
          <w:color w:val="000000"/>
          <w:sz w:val="24"/>
          <w:szCs w:val="24"/>
        </w:rPr>
        <w:t>eratura brasileira contemporânea</w:t>
      </w:r>
      <w:r>
        <w:rPr>
          <w:rFonts w:ascii="Times New Roman" w:eastAsia="Times New Roman" w:hAnsi="Times New Roman" w:cs="Times New Roman"/>
          <w:color w:val="000000"/>
          <w:sz w:val="24"/>
          <w:szCs w:val="24"/>
        </w:rPr>
        <w:t>: um território contestado. Rio de Janeiro; Vinhedo: Ed. UERJ; Horizonte, 2012.</w:t>
      </w:r>
    </w:p>
    <w:p w:rsidR="00D67A42" w:rsidRDefault="00F4783A">
      <w:pPr>
        <w:pBdr>
          <w:top w:val="nil"/>
          <w:left w:val="nil"/>
          <w:bottom w:val="nil"/>
          <w:right w:val="nil"/>
          <w:between w:val="nil"/>
        </w:pBdr>
        <w:spacing w:before="120" w:after="120" w:line="240" w:lineRule="auto"/>
        <w:jc w:val="both"/>
        <w:rPr>
          <w:color w:val="000000"/>
          <w:sz w:val="20"/>
          <w:szCs w:val="20"/>
        </w:rPr>
      </w:pPr>
      <w:r>
        <w:rPr>
          <w:rFonts w:ascii="Times New Roman" w:eastAsia="Times New Roman" w:hAnsi="Times New Roman" w:cs="Times New Roman"/>
          <w:color w:val="000000"/>
          <w:sz w:val="24"/>
          <w:szCs w:val="24"/>
        </w:rPr>
        <w:t xml:space="preserve">DUARTE, E. de A.. “Por um conceito de literatura afro-brasileira”. </w:t>
      </w:r>
      <w:r>
        <w:rPr>
          <w:rFonts w:ascii="Times New Roman" w:eastAsia="Times New Roman" w:hAnsi="Times New Roman" w:cs="Times New Roman"/>
          <w:i/>
          <w:color w:val="000000"/>
          <w:sz w:val="24"/>
          <w:szCs w:val="24"/>
        </w:rPr>
        <w:t>In</w:t>
      </w:r>
      <w:r>
        <w:rPr>
          <w:rFonts w:ascii="Times New Roman" w:eastAsia="Times New Roman" w:hAnsi="Times New Roman" w:cs="Times New Roman"/>
          <w:color w:val="000000"/>
          <w:sz w:val="24"/>
          <w:szCs w:val="24"/>
        </w:rPr>
        <w:t xml:space="preserve">: DUARTE, E. de A.; FONSECA, M. N. S.. (Orgs.). </w:t>
      </w:r>
      <w:r>
        <w:rPr>
          <w:rFonts w:ascii="Times New Roman" w:eastAsia="Times New Roman" w:hAnsi="Times New Roman" w:cs="Times New Roman"/>
          <w:i/>
          <w:color w:val="000000"/>
          <w:sz w:val="24"/>
          <w:szCs w:val="24"/>
        </w:rPr>
        <w:t>Literatura e afrodescendênc</w:t>
      </w:r>
      <w:r>
        <w:rPr>
          <w:rFonts w:ascii="Times New Roman" w:eastAsia="Times New Roman" w:hAnsi="Times New Roman" w:cs="Times New Roman"/>
          <w:i/>
          <w:color w:val="000000"/>
          <w:sz w:val="24"/>
          <w:szCs w:val="24"/>
        </w:rPr>
        <w:t>ia no Brasil</w:t>
      </w:r>
      <w:r>
        <w:rPr>
          <w:rFonts w:ascii="Times New Roman" w:eastAsia="Times New Roman" w:hAnsi="Times New Roman" w:cs="Times New Roman"/>
          <w:color w:val="000000"/>
          <w:sz w:val="24"/>
          <w:szCs w:val="24"/>
        </w:rPr>
        <w:t>: antologia crítica. v. 4. Belo Horizonte: Editora da UFMG, 2011. p. 375-403</w:t>
      </w:r>
    </w:p>
    <w:p w:rsidR="00D67A42" w:rsidRDefault="00F4783A">
      <w:pPr>
        <w:pBdr>
          <w:top w:val="nil"/>
          <w:left w:val="nil"/>
          <w:bottom w:val="nil"/>
          <w:right w:val="nil"/>
          <w:between w:val="nil"/>
        </w:pBdr>
        <w:spacing w:before="120" w:after="120" w:line="240" w:lineRule="auto"/>
        <w:jc w:val="both"/>
        <w:rPr>
          <w:color w:val="000000"/>
          <w:sz w:val="20"/>
          <w:szCs w:val="20"/>
        </w:rPr>
      </w:pPr>
      <w:r>
        <w:rPr>
          <w:rFonts w:ascii="Times New Roman" w:eastAsia="Times New Roman" w:hAnsi="Times New Roman" w:cs="Times New Roman"/>
          <w:color w:val="000000"/>
          <w:sz w:val="24"/>
          <w:szCs w:val="24"/>
        </w:rPr>
        <w:t xml:space="preserve">FARIA, S. de C.. Identidade e comunidade escrava: um ensaio. </w:t>
      </w:r>
      <w:r>
        <w:rPr>
          <w:rFonts w:ascii="Times New Roman" w:eastAsia="Times New Roman" w:hAnsi="Times New Roman" w:cs="Times New Roman"/>
          <w:i/>
          <w:color w:val="000000"/>
          <w:sz w:val="24"/>
          <w:szCs w:val="24"/>
        </w:rPr>
        <w:t>Tempo</w:t>
      </w:r>
      <w:r>
        <w:rPr>
          <w:rFonts w:ascii="Times New Roman" w:eastAsia="Times New Roman" w:hAnsi="Times New Roman" w:cs="Times New Roman"/>
          <w:color w:val="000000"/>
          <w:sz w:val="24"/>
          <w:szCs w:val="24"/>
        </w:rPr>
        <w:t>. Niterói, n. 22;122- 146, jan. 2007. Disponível em: http://www.historia.uff.br/tempo/artigos_livres/</w:t>
      </w:r>
      <w:r>
        <w:rPr>
          <w:rFonts w:ascii="Times New Roman" w:eastAsia="Times New Roman" w:hAnsi="Times New Roman" w:cs="Times New Roman"/>
          <w:color w:val="000000"/>
          <w:sz w:val="24"/>
          <w:szCs w:val="24"/>
        </w:rPr>
        <w:t>v11n22a07.pdf. Acesso em: 1 mar. 2011.</w:t>
      </w:r>
    </w:p>
    <w:p w:rsidR="00D67A42" w:rsidRDefault="00F4783A">
      <w:pPr>
        <w:spacing w:before="120" w:after="120" w:line="240" w:lineRule="auto"/>
        <w:jc w:val="both"/>
      </w:pPr>
      <w:r>
        <w:rPr>
          <w:rFonts w:ascii="Times New Roman" w:eastAsia="Times New Roman" w:hAnsi="Times New Roman" w:cs="Times New Roman"/>
          <w:sz w:val="24"/>
          <w:szCs w:val="24"/>
        </w:rPr>
        <w:t xml:space="preserve">GRINBERG, KK; BORGES, M. F.; SALLES, R.. Rebeliões escravas antes da extinção do tráfico. </w:t>
      </w:r>
      <w:r>
        <w:rPr>
          <w:rFonts w:ascii="Times New Roman" w:eastAsia="Times New Roman" w:hAnsi="Times New Roman" w:cs="Times New Roman"/>
          <w:i/>
          <w:sz w:val="24"/>
          <w:szCs w:val="24"/>
        </w:rPr>
        <w:t>In</w:t>
      </w:r>
      <w:r>
        <w:rPr>
          <w:rFonts w:ascii="Times New Roman" w:eastAsia="Times New Roman" w:hAnsi="Times New Roman" w:cs="Times New Roman"/>
          <w:sz w:val="24"/>
          <w:szCs w:val="24"/>
        </w:rPr>
        <w:t xml:space="preserve">: GRINBERG, KK; BORGES, M. F.; SALLES, R.. </w:t>
      </w:r>
      <w:r>
        <w:rPr>
          <w:rFonts w:ascii="Times New Roman" w:eastAsia="Times New Roman" w:hAnsi="Times New Roman" w:cs="Times New Roman"/>
          <w:i/>
          <w:sz w:val="24"/>
          <w:szCs w:val="24"/>
        </w:rPr>
        <w:t>O Brasil Imperial</w:t>
      </w:r>
      <w:r>
        <w:rPr>
          <w:rFonts w:ascii="Times New Roman" w:eastAsia="Times New Roman" w:hAnsi="Times New Roman" w:cs="Times New Roman"/>
          <w:sz w:val="24"/>
          <w:szCs w:val="24"/>
        </w:rPr>
        <w:t xml:space="preserve"> – volume I – 1808-1831. Rio de Janeiro: Civilização Brasileira, </w:t>
      </w:r>
      <w:r w:rsidR="00F84E83">
        <w:rPr>
          <w:rFonts w:ascii="Times New Roman" w:eastAsia="Times New Roman" w:hAnsi="Times New Roman" w:cs="Times New Roman"/>
          <w:sz w:val="24"/>
          <w:szCs w:val="24"/>
        </w:rPr>
        <w:t xml:space="preserve">2009. </w:t>
      </w:r>
      <w:r>
        <w:rPr>
          <w:rFonts w:ascii="Times New Roman" w:eastAsia="Times New Roman" w:hAnsi="Times New Roman" w:cs="Times New Roman"/>
          <w:sz w:val="24"/>
          <w:szCs w:val="24"/>
        </w:rPr>
        <w:t>p. 235-271.</w:t>
      </w:r>
    </w:p>
    <w:p w:rsidR="00D67A42" w:rsidRDefault="00F4783A">
      <w:pPr>
        <w:spacing w:before="120" w:after="120" w:line="240" w:lineRule="auto"/>
        <w:jc w:val="both"/>
      </w:pPr>
      <w:r>
        <w:rPr>
          <w:rFonts w:ascii="Times New Roman" w:eastAsia="Times New Roman" w:hAnsi="Times New Roman" w:cs="Times New Roman"/>
          <w:sz w:val="24"/>
          <w:szCs w:val="24"/>
        </w:rPr>
        <w:t>LÓPEZ WINNE, H.; MALUMIÁN, V..</w:t>
      </w:r>
      <w:r>
        <w:rPr>
          <w:rFonts w:ascii="Times New Roman" w:eastAsia="Times New Roman" w:hAnsi="Times New Roman" w:cs="Times New Roman"/>
          <w:i/>
          <w:sz w:val="24"/>
          <w:szCs w:val="24"/>
        </w:rPr>
        <w:t xml:space="preserve">Independientes, ¿de qué? </w:t>
      </w:r>
      <w:r>
        <w:rPr>
          <w:rFonts w:ascii="Times New Roman" w:eastAsia="Times New Roman" w:hAnsi="Times New Roman" w:cs="Times New Roman"/>
          <w:sz w:val="24"/>
          <w:szCs w:val="24"/>
        </w:rPr>
        <w:t xml:space="preserve">Hablanlos editores de América Latina. México: FCE, 2016; </w:t>
      </w:r>
    </w:p>
    <w:p w:rsidR="00D67A42" w:rsidRDefault="00F4783A">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MAINGUENEAU, D.. A propósito do ethos. </w:t>
      </w:r>
      <w:r>
        <w:rPr>
          <w:rFonts w:ascii="Times New Roman" w:eastAsia="Times New Roman" w:hAnsi="Times New Roman" w:cs="Times New Roman"/>
          <w:i/>
          <w:sz w:val="24"/>
          <w:szCs w:val="24"/>
        </w:rPr>
        <w:t>In</w:t>
      </w:r>
      <w:r w:rsidR="00F84E83">
        <w:rPr>
          <w:rFonts w:ascii="Times New Roman" w:eastAsia="Times New Roman" w:hAnsi="Times New Roman" w:cs="Times New Roman"/>
          <w:sz w:val="24"/>
          <w:szCs w:val="24"/>
        </w:rPr>
        <w:t>:  MOTTA, A. R.; SALGADO, L. (o</w:t>
      </w:r>
      <w:r>
        <w:rPr>
          <w:rFonts w:ascii="Times New Roman" w:eastAsia="Times New Roman" w:hAnsi="Times New Roman" w:cs="Times New Roman"/>
          <w:sz w:val="24"/>
          <w:szCs w:val="24"/>
        </w:rPr>
        <w:t xml:space="preserve">rgs.). </w:t>
      </w:r>
      <w:r>
        <w:rPr>
          <w:rFonts w:ascii="Times New Roman" w:eastAsia="Times New Roman" w:hAnsi="Times New Roman" w:cs="Times New Roman"/>
          <w:i/>
          <w:sz w:val="24"/>
          <w:szCs w:val="24"/>
        </w:rPr>
        <w:t>Ethos discursivo</w:t>
      </w:r>
      <w:r>
        <w:rPr>
          <w:rFonts w:ascii="Times New Roman" w:eastAsia="Times New Roman" w:hAnsi="Times New Roman" w:cs="Times New Roman"/>
          <w:sz w:val="24"/>
          <w:szCs w:val="24"/>
        </w:rPr>
        <w:t>. São Paulo: Contexto, 2008 p.11-29.</w:t>
      </w:r>
    </w:p>
    <w:p w:rsidR="00D67A42" w:rsidRDefault="00F4783A">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MAZZA EDIÇÕES. Mazza Edições – Pioneirismo e Resistência, 2021. </w:t>
      </w:r>
      <w:r w:rsidR="00F84E83">
        <w:rPr>
          <w:rFonts w:ascii="Times New Roman" w:eastAsia="Times New Roman" w:hAnsi="Times New Roman" w:cs="Times New Roman"/>
          <w:color w:val="000000"/>
          <w:sz w:val="24"/>
          <w:szCs w:val="24"/>
        </w:rPr>
        <w:t xml:space="preserve">Página inicial. Disponível em: </w:t>
      </w:r>
      <w:hyperlink r:id="rId17">
        <w:r>
          <w:rPr>
            <w:rFonts w:ascii="Times New Roman" w:eastAsia="Times New Roman" w:hAnsi="Times New Roman" w:cs="Times New Roman"/>
            <w:color w:val="000000"/>
            <w:sz w:val="24"/>
            <w:szCs w:val="24"/>
          </w:rPr>
          <w:t>https://www.mazzaedicoes.com.br</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D67A42" w:rsidRDefault="00F4783A">
      <w:pPr>
        <w:spacing w:before="120" w:after="120" w:line="240" w:lineRule="auto"/>
        <w:jc w:val="both"/>
      </w:pPr>
      <w:r>
        <w:rPr>
          <w:rFonts w:ascii="Times New Roman" w:eastAsia="Times New Roman" w:hAnsi="Times New Roman" w:cs="Times New Roman"/>
          <w:sz w:val="24"/>
          <w:szCs w:val="24"/>
        </w:rPr>
        <w:t>MBEMBE, A..</w:t>
      </w:r>
      <w:r>
        <w:rPr>
          <w:rFonts w:ascii="Times New Roman" w:eastAsia="Times New Roman" w:hAnsi="Times New Roman" w:cs="Times New Roman"/>
          <w:i/>
          <w:sz w:val="24"/>
          <w:szCs w:val="24"/>
        </w:rPr>
        <w:t xml:space="preserve">Crítica da </w:t>
      </w:r>
      <w:r>
        <w:rPr>
          <w:rFonts w:ascii="Times New Roman" w:eastAsia="Times New Roman" w:hAnsi="Times New Roman" w:cs="Times New Roman"/>
          <w:i/>
          <w:sz w:val="24"/>
          <w:szCs w:val="24"/>
        </w:rPr>
        <w:t>razão negra</w:t>
      </w:r>
      <w:r>
        <w:rPr>
          <w:rFonts w:ascii="Times New Roman" w:eastAsia="Times New Roman" w:hAnsi="Times New Roman" w:cs="Times New Roman"/>
          <w:sz w:val="24"/>
          <w:szCs w:val="24"/>
        </w:rPr>
        <w:t>. Lisboa: Antígona, 2014.</w:t>
      </w:r>
    </w:p>
    <w:p w:rsidR="00D67A42" w:rsidRDefault="00F4783A">
      <w:pPr>
        <w:spacing w:before="120" w:after="120" w:line="240" w:lineRule="auto"/>
        <w:jc w:val="both"/>
      </w:pPr>
      <w:r>
        <w:rPr>
          <w:rFonts w:ascii="Times New Roman" w:eastAsia="Times New Roman" w:hAnsi="Times New Roman" w:cs="Times New Roman"/>
          <w:sz w:val="24"/>
          <w:szCs w:val="24"/>
        </w:rPr>
        <w:t>NASCIMENTO, A..</w:t>
      </w:r>
      <w:r>
        <w:rPr>
          <w:rFonts w:ascii="Times New Roman" w:eastAsia="Times New Roman" w:hAnsi="Times New Roman" w:cs="Times New Roman"/>
          <w:i/>
          <w:sz w:val="24"/>
          <w:szCs w:val="24"/>
        </w:rPr>
        <w:t>O quilombismo</w:t>
      </w:r>
      <w:r>
        <w:rPr>
          <w:rFonts w:ascii="Times New Roman" w:eastAsia="Times New Roman" w:hAnsi="Times New Roman" w:cs="Times New Roman"/>
          <w:sz w:val="24"/>
          <w:szCs w:val="24"/>
        </w:rPr>
        <w:t>. Petrópolis: Vozes, 1980.</w:t>
      </w:r>
    </w:p>
    <w:p w:rsidR="00D67A42" w:rsidRDefault="00F4783A">
      <w:pPr>
        <w:spacing w:before="120" w:after="120" w:line="240" w:lineRule="auto"/>
        <w:jc w:val="both"/>
      </w:pPr>
      <w:r>
        <w:rPr>
          <w:rFonts w:ascii="Times New Roman" w:eastAsia="Times New Roman" w:hAnsi="Times New Roman" w:cs="Times New Roman"/>
          <w:sz w:val="24"/>
          <w:szCs w:val="24"/>
        </w:rPr>
        <w:t xml:space="preserve">OLIVEIRA, L. H. S.. Os quilombos editoriais como iniciativas independentes. </w:t>
      </w:r>
      <w:r>
        <w:rPr>
          <w:rFonts w:ascii="Times New Roman" w:eastAsia="Times New Roman" w:hAnsi="Times New Roman" w:cs="Times New Roman"/>
          <w:i/>
          <w:sz w:val="24"/>
          <w:szCs w:val="24"/>
        </w:rPr>
        <w:t>Aletria</w:t>
      </w:r>
      <w:r>
        <w:rPr>
          <w:rFonts w:ascii="Times New Roman" w:eastAsia="Times New Roman" w:hAnsi="Times New Roman" w:cs="Times New Roman"/>
          <w:sz w:val="24"/>
          <w:szCs w:val="24"/>
        </w:rPr>
        <w:t xml:space="preserve">, Belo Horizonte, v. 28, n. 4, p. 155-170, 2018. DOI: </w:t>
      </w:r>
      <w:hyperlink r:id="rId18">
        <w:r>
          <w:rPr>
            <w:rFonts w:ascii="Times New Roman" w:eastAsia="Times New Roman" w:hAnsi="Times New Roman" w:cs="Times New Roman"/>
            <w:color w:val="000000"/>
            <w:sz w:val="24"/>
            <w:szCs w:val="24"/>
          </w:rPr>
          <w:t>https://doi.org/10.17851/2317-2096.28.4.155-170</w:t>
        </w:r>
      </w:hyperlink>
      <w:r>
        <w:rPr>
          <w:rFonts w:ascii="Times New Roman" w:eastAsia="Times New Roman" w:hAnsi="Times New Roman" w:cs="Times New Roman"/>
          <w:sz w:val="24"/>
          <w:szCs w:val="24"/>
        </w:rPr>
        <w:t>.</w:t>
      </w:r>
    </w:p>
    <w:p w:rsidR="00D67A42" w:rsidRDefault="00F4783A">
      <w:pPr>
        <w:spacing w:before="120" w:after="120" w:line="240" w:lineRule="auto"/>
        <w:jc w:val="both"/>
      </w:pPr>
      <w:r>
        <w:rPr>
          <w:rFonts w:ascii="Times New Roman" w:eastAsia="Times New Roman" w:hAnsi="Times New Roman" w:cs="Times New Roman"/>
          <w:sz w:val="24"/>
          <w:szCs w:val="24"/>
        </w:rPr>
        <w:t>REIS, J. J..</w:t>
      </w:r>
      <w:r>
        <w:rPr>
          <w:rFonts w:ascii="Times New Roman" w:eastAsia="Times New Roman" w:hAnsi="Times New Roman" w:cs="Times New Roman"/>
          <w:i/>
          <w:sz w:val="24"/>
          <w:szCs w:val="24"/>
        </w:rPr>
        <w:t>Rebelião escrava no Brasil</w:t>
      </w:r>
      <w:r>
        <w:rPr>
          <w:rFonts w:ascii="Times New Roman" w:eastAsia="Times New Roman" w:hAnsi="Times New Roman" w:cs="Times New Roman"/>
          <w:sz w:val="24"/>
          <w:szCs w:val="24"/>
        </w:rPr>
        <w:t xml:space="preserve"> - a história do levante dos Malês em 1835. Edição revisada e ampliada. São Paulo: Companhia das Letras, 2003.</w:t>
      </w:r>
    </w:p>
    <w:p w:rsidR="00D67A42" w:rsidRDefault="00D67A42">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line="240" w:lineRule="auto"/>
        <w:jc w:val="both"/>
        <w:rPr>
          <w:rFonts w:ascii="Times New Roman" w:eastAsia="Times New Roman" w:hAnsi="Times New Roman" w:cs="Times New Roman"/>
          <w:sz w:val="24"/>
          <w:szCs w:val="24"/>
        </w:rPr>
      </w:pPr>
      <w:bookmarkStart w:id="2" w:name="30j0zll" w:colFirst="0" w:colLast="0"/>
      <w:bookmarkEnd w:id="2"/>
    </w:p>
    <w:p w:rsidR="00D67A42" w:rsidRDefault="00F4783A">
      <w:pPr>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sz w:val="24"/>
          <w:szCs w:val="24"/>
        </w:rPr>
        <w:t>Recebido em: 29 de junho de 2021.</w:t>
      </w:r>
    </w:p>
    <w:p w:rsidR="00D67A42" w:rsidRDefault="00F4783A" w:rsidP="00F84E83">
      <w:pPr>
        <w:pBdr>
          <w:top w:val="nil"/>
          <w:left w:val="nil"/>
          <w:bottom w:val="nil"/>
          <w:right w:val="nil"/>
          <w:between w:val="nil"/>
        </w:pBdr>
        <w:spacing w:after="0" w:line="288" w:lineRule="auto"/>
        <w:jc w:val="both"/>
        <w:rPr>
          <w:color w:val="000000"/>
        </w:rPr>
      </w:pPr>
      <w:r>
        <w:rPr>
          <w:rFonts w:ascii="Times New Roman" w:eastAsia="Times New Roman" w:hAnsi="Times New Roman" w:cs="Times New Roman"/>
          <w:color w:val="000000"/>
          <w:sz w:val="24"/>
          <w:szCs w:val="24"/>
        </w:rPr>
        <w:t>Aprovado em: 14 de fevereiro de 2022.</w:t>
      </w:r>
    </w:p>
    <w:p w:rsidR="00D67A42" w:rsidRDefault="00D67A42">
      <w:pPr>
        <w:spacing w:after="0" w:line="240" w:lineRule="auto"/>
        <w:ind w:firstLine="708"/>
        <w:jc w:val="both"/>
        <w:rPr>
          <w:rFonts w:ascii="Times New Roman" w:eastAsia="Times New Roman" w:hAnsi="Times New Roman" w:cs="Times New Roman"/>
          <w:sz w:val="24"/>
          <w:szCs w:val="24"/>
        </w:rPr>
      </w:pPr>
    </w:p>
    <w:p w:rsidR="00D67A42" w:rsidRDefault="00D67A42">
      <w:pPr>
        <w:spacing w:after="0" w:line="240" w:lineRule="auto"/>
        <w:jc w:val="both"/>
        <w:rPr>
          <w:rFonts w:ascii="Times New Roman" w:eastAsia="Times New Roman" w:hAnsi="Times New Roman" w:cs="Times New Roman"/>
          <w:sz w:val="24"/>
          <w:szCs w:val="24"/>
        </w:rPr>
      </w:pPr>
    </w:p>
    <w:p w:rsidR="00D67A42" w:rsidRDefault="00D67A42">
      <w:pPr>
        <w:spacing w:line="240" w:lineRule="auto"/>
        <w:jc w:val="both"/>
      </w:pPr>
    </w:p>
    <w:sectPr w:rsidR="00D67A42">
      <w:headerReference w:type="default" r:id="rId19"/>
      <w:headerReference w:type="first" r:id="rId20"/>
      <w:pgSz w:w="11906" w:h="16838"/>
      <w:pgMar w:top="1701" w:right="1134" w:bottom="1134" w:left="1701" w:header="709"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83A" w:rsidRDefault="00F4783A">
      <w:pPr>
        <w:spacing w:after="0" w:line="240" w:lineRule="auto"/>
      </w:pPr>
      <w:r>
        <w:separator/>
      </w:r>
    </w:p>
  </w:endnote>
  <w:endnote w:type="continuationSeparator" w:id="0">
    <w:p w:rsidR="00F4783A" w:rsidRDefault="00F4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83A" w:rsidRDefault="00F4783A">
      <w:pPr>
        <w:spacing w:after="0" w:line="240" w:lineRule="auto"/>
      </w:pPr>
      <w:r>
        <w:separator/>
      </w:r>
    </w:p>
  </w:footnote>
  <w:footnote w:type="continuationSeparator" w:id="0">
    <w:p w:rsidR="00F4783A" w:rsidRDefault="00F4783A">
      <w:pPr>
        <w:spacing w:after="0" w:line="240" w:lineRule="auto"/>
      </w:pPr>
      <w:r>
        <w:continuationSeparator/>
      </w:r>
    </w:p>
  </w:footnote>
  <w:footnote w:id="1">
    <w:p w:rsidR="00D67A42" w:rsidRDefault="00F4783A">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Cf. LÓPEZ WINNE, Hernán; MALUMIÁN, Víctor. </w:t>
      </w:r>
      <w:r>
        <w:rPr>
          <w:rFonts w:ascii="Times New Roman" w:eastAsia="Times New Roman" w:hAnsi="Times New Roman" w:cs="Times New Roman"/>
          <w:i/>
          <w:color w:val="000000"/>
          <w:sz w:val="20"/>
          <w:szCs w:val="20"/>
        </w:rPr>
        <w:t xml:space="preserve">Independientes, ¿de qué? </w:t>
      </w:r>
      <w:r>
        <w:rPr>
          <w:rFonts w:ascii="Times New Roman" w:eastAsia="Times New Roman" w:hAnsi="Times New Roman" w:cs="Times New Roman"/>
          <w:color w:val="000000"/>
          <w:sz w:val="20"/>
          <w:szCs w:val="20"/>
        </w:rPr>
        <w:t xml:space="preserve">Hablan los editores de América Latina. México: FCE, 2016; e OLIVEIRA, Luiz Henrique. Os quilombos editoriais como iniciativas independentes. </w:t>
      </w:r>
      <w:r>
        <w:rPr>
          <w:rFonts w:ascii="Times New Roman" w:eastAsia="Times New Roman" w:hAnsi="Times New Roman" w:cs="Times New Roman"/>
          <w:i/>
          <w:color w:val="000000"/>
          <w:sz w:val="20"/>
          <w:szCs w:val="20"/>
        </w:rPr>
        <w:t>Aletria</w:t>
      </w:r>
      <w:r>
        <w:rPr>
          <w:rFonts w:ascii="Times New Roman" w:eastAsia="Times New Roman" w:hAnsi="Times New Roman" w:cs="Times New Roman"/>
          <w:color w:val="000000"/>
          <w:sz w:val="20"/>
          <w:szCs w:val="20"/>
        </w:rPr>
        <w:t>: revista de estudos de literatura, v. 28, p. 155-170, 2018.</w:t>
      </w:r>
    </w:p>
  </w:footnote>
  <w:footnote w:id="2">
    <w:p w:rsidR="00D67A42" w:rsidRDefault="00F4783A">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Conforme explica Ruth Amossy (2008), sobre o </w:t>
      </w:r>
      <w:r>
        <w:rPr>
          <w:rFonts w:ascii="Times New Roman" w:eastAsia="Times New Roman" w:hAnsi="Times New Roman" w:cs="Times New Roman"/>
          <w:i/>
          <w:color w:val="000000"/>
          <w:sz w:val="20"/>
          <w:szCs w:val="20"/>
        </w:rPr>
        <w:t>ethos</w:t>
      </w:r>
      <w:r>
        <w:rPr>
          <w:rFonts w:ascii="Times New Roman" w:eastAsia="Times New Roman" w:hAnsi="Times New Roman" w:cs="Times New Roman"/>
          <w:color w:val="000000"/>
          <w:sz w:val="20"/>
          <w:szCs w:val="20"/>
        </w:rPr>
        <w:t xml:space="preserve"> pré-discursivo, mesmo que auditório não possua uma imagem inicial do enunciador, o gênero textual que ampara o ato enunciativo, as características da formação discursiva e o posicionamento ideológico mani</w:t>
      </w:r>
      <w:r>
        <w:rPr>
          <w:rFonts w:ascii="Times New Roman" w:eastAsia="Times New Roman" w:hAnsi="Times New Roman" w:cs="Times New Roman"/>
          <w:color w:val="000000"/>
          <w:sz w:val="20"/>
          <w:szCs w:val="20"/>
        </w:rPr>
        <w:t xml:space="preserve">festado no texto ajudam a inferir características do </w:t>
      </w:r>
      <w:r>
        <w:rPr>
          <w:rFonts w:ascii="Times New Roman" w:eastAsia="Times New Roman" w:hAnsi="Times New Roman" w:cs="Times New Roman"/>
          <w:i/>
          <w:color w:val="000000"/>
          <w:sz w:val="20"/>
          <w:szCs w:val="20"/>
        </w:rPr>
        <w:t>ethos</w:t>
      </w:r>
      <w:r>
        <w:rPr>
          <w:rFonts w:ascii="Times New Roman" w:eastAsia="Times New Roman" w:hAnsi="Times New Roman" w:cs="Times New Roman"/>
          <w:color w:val="000000"/>
          <w:sz w:val="20"/>
          <w:szCs w:val="20"/>
        </w:rPr>
        <w:t xml:space="preserve"> do enunciador.</w:t>
      </w:r>
    </w:p>
  </w:footnote>
  <w:footnote w:id="3">
    <w:p w:rsidR="00D67A42" w:rsidRDefault="00F4783A">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este respeito, vale conferir DALCASTAGNÈ (2011; 2012).</w:t>
      </w:r>
    </w:p>
  </w:footnote>
  <w:footnote w:id="4">
    <w:p w:rsidR="00D67A42" w:rsidRDefault="00F4783A">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MAZZA EDIÇÕES. Mazza Edições – Pioneirismo e Resistência, 2021. Disponível em: &lt;</w:t>
      </w:r>
      <w:hyperlink r:id="rId1">
        <w:r>
          <w:rPr>
            <w:rFonts w:ascii="Times New Roman" w:eastAsia="Times New Roman" w:hAnsi="Times New Roman" w:cs="Times New Roman"/>
            <w:color w:val="000000"/>
            <w:sz w:val="20"/>
            <w:szCs w:val="20"/>
          </w:rPr>
          <w:t>https://</w:t>
        </w:r>
      </w:hyperlink>
      <w:r>
        <w:rPr>
          <w:color w:val="000000"/>
          <w:sz w:val="20"/>
          <w:szCs w:val="20"/>
        </w:rPr>
        <w:t xml:space="preserve"> </w:t>
      </w:r>
      <w:r>
        <w:rPr>
          <w:rFonts w:ascii="Times New Roman" w:eastAsia="Times New Roman" w:hAnsi="Times New Roman" w:cs="Times New Roman"/>
          <w:color w:val="000000"/>
          <w:sz w:val="20"/>
          <w:szCs w:val="20"/>
        </w:rPr>
        <w:t>mazzaedicoes.com.br&gt;. Acesso em: 12 dez. 2020.</w:t>
      </w:r>
    </w:p>
  </w:footnote>
  <w:footnote w:id="5">
    <w:p w:rsidR="00D67A42" w:rsidRDefault="00F4783A">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MAZZA EDIÇÕES. Mazza Edições – Pioneirismo e Resistência, 2021. Disponível em: &lt;</w:t>
      </w:r>
      <w:hyperlink r:id="rId2">
        <w:r>
          <w:rPr>
            <w:rFonts w:ascii="Times New Roman" w:eastAsia="Times New Roman" w:hAnsi="Times New Roman" w:cs="Times New Roman"/>
            <w:color w:val="000000"/>
            <w:sz w:val="20"/>
            <w:szCs w:val="20"/>
          </w:rPr>
          <w:t>https://</w:t>
        </w:r>
      </w:hyperlink>
      <w:r>
        <w:rPr>
          <w:color w:val="000000"/>
          <w:sz w:val="20"/>
          <w:szCs w:val="20"/>
        </w:rPr>
        <w:t xml:space="preserve"> </w:t>
      </w:r>
      <w:r>
        <w:rPr>
          <w:rFonts w:ascii="Times New Roman" w:eastAsia="Times New Roman" w:hAnsi="Times New Roman" w:cs="Times New Roman"/>
          <w:color w:val="000000"/>
          <w:sz w:val="20"/>
          <w:szCs w:val="20"/>
        </w:rPr>
        <w:t>mazzaedicoes.com.br&gt;. Acesso em: 12 dez. 2020</w:t>
      </w:r>
    </w:p>
  </w:footnote>
  <w:footnote w:id="6">
    <w:p w:rsidR="00D67A42" w:rsidRDefault="00F4783A">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Maria Mazarello Rodrigues, fundadora da MAZZA EDIÇÕES, tem seu percurso intelectual e humano marcado pelo envolvimento com as questões sociais, políticas e culturais do Brasil. A experiência acumulada como uma das fundadoras da Editora do Professor e da Ed</w:t>
      </w:r>
      <w:r>
        <w:rPr>
          <w:rFonts w:ascii="Times New Roman" w:eastAsia="Times New Roman" w:hAnsi="Times New Roman" w:cs="Times New Roman"/>
          <w:color w:val="000000"/>
          <w:sz w:val="20"/>
          <w:szCs w:val="20"/>
        </w:rPr>
        <w:t>itora Vega, nos anos 1960 e 1970, e, logo após, com o mestrado em Editoração realizado em Paris, se consolidou através da MAZZA EDIÇÕES, que testemunhou alguns dos principais acontecimentos da sociedade brasileira das últimas décadas. (MAZZA EDIÇÕES. Mazza</w:t>
      </w:r>
      <w:r>
        <w:rPr>
          <w:rFonts w:ascii="Times New Roman" w:eastAsia="Times New Roman" w:hAnsi="Times New Roman" w:cs="Times New Roman"/>
          <w:color w:val="000000"/>
          <w:sz w:val="20"/>
          <w:szCs w:val="20"/>
        </w:rPr>
        <w:t xml:space="preserve"> Edições – Pioneirismo e Resistência, 2021. A Editora. Disponível em: &lt;</w:t>
      </w:r>
      <w:hyperlink r:id="rId3">
        <w:r>
          <w:rPr>
            <w:rFonts w:ascii="Times New Roman" w:eastAsia="Times New Roman" w:hAnsi="Times New Roman" w:cs="Times New Roman"/>
            <w:color w:val="000000"/>
            <w:sz w:val="20"/>
            <w:szCs w:val="20"/>
          </w:rPr>
          <w:t>https://</w:t>
        </w:r>
      </w:hyperlink>
      <w:r>
        <w:rPr>
          <w:color w:val="000000"/>
          <w:sz w:val="20"/>
          <w:szCs w:val="20"/>
        </w:rPr>
        <w:t xml:space="preserve"> </w:t>
      </w:r>
      <w:r>
        <w:rPr>
          <w:rFonts w:ascii="Times New Roman" w:eastAsia="Times New Roman" w:hAnsi="Times New Roman" w:cs="Times New Roman"/>
          <w:color w:val="000000"/>
          <w:sz w:val="20"/>
          <w:szCs w:val="20"/>
        </w:rPr>
        <w:t>mazzaedicoes.com.br/a-editora/&gt;. Acesso em: 12 maio 2021).</w:t>
      </w:r>
    </w:p>
  </w:footnote>
  <w:footnote w:id="7">
    <w:p w:rsidR="00D67A42" w:rsidRDefault="00F4783A">
      <w:pPr>
        <w:pBdr>
          <w:top w:val="nil"/>
          <w:left w:val="nil"/>
          <w:bottom w:val="nil"/>
          <w:right w:val="nil"/>
          <w:between w:val="nil"/>
        </w:pBdr>
        <w:spacing w:after="0" w:line="240" w:lineRule="auto"/>
        <w:jc w:val="both"/>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A MAZZA EDIÇÕES se propõe a atuar com sentido crítico para ofer</w:t>
      </w:r>
      <w:r>
        <w:rPr>
          <w:rFonts w:ascii="Times New Roman" w:eastAsia="Times New Roman" w:hAnsi="Times New Roman" w:cs="Times New Roman"/>
          <w:color w:val="000000"/>
          <w:sz w:val="20"/>
          <w:szCs w:val="20"/>
        </w:rPr>
        <w:t>ecer aos seus leitores e clientes obras que contribuam para uma melhor compreensão do passado, do presente e do futuro a ser construído. E não poderia ser outro o desejo de todos os que fazem da MAZZA EDIÇÕES uma editora e, mais que isso, uma casa de cultu</w:t>
      </w:r>
      <w:r>
        <w:rPr>
          <w:rFonts w:ascii="Times New Roman" w:eastAsia="Times New Roman" w:hAnsi="Times New Roman" w:cs="Times New Roman"/>
          <w:color w:val="000000"/>
          <w:sz w:val="20"/>
          <w:szCs w:val="20"/>
        </w:rPr>
        <w:t>ra viva. (MAZZA EDIÇÕES. Mazza Edições – Pioneirismo e Resistência, 2021. A Editora. Disponível em: &lt;</w:t>
      </w:r>
      <w:hyperlink r:id="rId4">
        <w:r>
          <w:rPr>
            <w:rFonts w:ascii="Times New Roman" w:eastAsia="Times New Roman" w:hAnsi="Times New Roman" w:cs="Times New Roman"/>
            <w:color w:val="000000"/>
            <w:sz w:val="20"/>
            <w:szCs w:val="20"/>
          </w:rPr>
          <w:t>https://</w:t>
        </w:r>
      </w:hyperlink>
      <w:r>
        <w:rPr>
          <w:color w:val="000000"/>
          <w:sz w:val="20"/>
          <w:szCs w:val="20"/>
        </w:rPr>
        <w:t xml:space="preserve"> </w:t>
      </w:r>
      <w:r>
        <w:rPr>
          <w:rFonts w:ascii="Times New Roman" w:eastAsia="Times New Roman" w:hAnsi="Times New Roman" w:cs="Times New Roman"/>
          <w:color w:val="000000"/>
          <w:sz w:val="20"/>
          <w:szCs w:val="20"/>
        </w:rPr>
        <w:t xml:space="preserve">mazzaedicoes.com.br/a-editora/&gt;. Acesso em: 12 maio 2021). </w:t>
      </w:r>
    </w:p>
  </w:footnote>
  <w:footnote w:id="8">
    <w:p w:rsidR="00D67A42" w:rsidRDefault="00F4783A">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0"/>
          <w:szCs w:val="20"/>
        </w:rPr>
        <w:t xml:space="preserve"> A MAZZA EDIÇÕES reflete em seu catálogo o empenho de escritores e leitores, que acreditam na construção de uma sociedade baseada na ética, na justiça e na liberdade. Acreditando nisso, investiu na publicação de autores/autoras negro(a)s e de livros que ab</w:t>
      </w:r>
      <w:r>
        <w:rPr>
          <w:rFonts w:ascii="Times New Roman" w:eastAsia="Times New Roman" w:hAnsi="Times New Roman" w:cs="Times New Roman"/>
          <w:color w:val="000000"/>
          <w:sz w:val="20"/>
          <w:szCs w:val="20"/>
        </w:rPr>
        <w:t xml:space="preserve">ordam os diversos aspectos da cultura afro-brasileira relacionada, por sua vez, a um largo segmento das populações excluídas no Brasil. No tocante a essa temática, a Editora se tornou referência nacional e internacional, na medida em que contribui para os </w:t>
      </w:r>
      <w:r>
        <w:rPr>
          <w:rFonts w:ascii="Times New Roman" w:eastAsia="Times New Roman" w:hAnsi="Times New Roman" w:cs="Times New Roman"/>
          <w:color w:val="000000"/>
          <w:sz w:val="20"/>
          <w:szCs w:val="20"/>
        </w:rPr>
        <w:t>debates acerca da diversidade sociocultural de nosso país. MAZZA EDIÇÕES. Mazza Edições – Pioneirismo e Resistência, 2021. A Editora. Disponível em: &lt;</w:t>
      </w:r>
      <w:hyperlink r:id="rId5">
        <w:r>
          <w:rPr>
            <w:rFonts w:ascii="Times New Roman" w:eastAsia="Times New Roman" w:hAnsi="Times New Roman" w:cs="Times New Roman"/>
            <w:color w:val="000000"/>
            <w:sz w:val="20"/>
            <w:szCs w:val="20"/>
          </w:rPr>
          <w:t>https://</w:t>
        </w:r>
      </w:hyperlink>
      <w:r>
        <w:rPr>
          <w:color w:val="000000"/>
          <w:sz w:val="20"/>
          <w:szCs w:val="20"/>
        </w:rPr>
        <w:t xml:space="preserve"> </w:t>
      </w:r>
      <w:r>
        <w:rPr>
          <w:rFonts w:ascii="Times New Roman" w:eastAsia="Times New Roman" w:hAnsi="Times New Roman" w:cs="Times New Roman"/>
          <w:color w:val="000000"/>
          <w:sz w:val="20"/>
          <w:szCs w:val="20"/>
        </w:rPr>
        <w:t>mazzaedicoes.com.br/a-editora/&gt;. Acesso em: 1</w:t>
      </w:r>
      <w:r>
        <w:rPr>
          <w:rFonts w:ascii="Times New Roman" w:eastAsia="Times New Roman" w:hAnsi="Times New Roman" w:cs="Times New Roman"/>
          <w:color w:val="000000"/>
          <w:sz w:val="20"/>
          <w:szCs w:val="20"/>
        </w:rPr>
        <w:t>2 maio 2021.</w:t>
      </w:r>
    </w:p>
    <w:p w:rsidR="00D67A42" w:rsidRDefault="00F4783A">
      <w:pPr>
        <w:pBdr>
          <w:top w:val="nil"/>
          <w:left w:val="nil"/>
          <w:bottom w:val="nil"/>
          <w:right w:val="nil"/>
          <w:between w:val="nil"/>
        </w:pBdr>
        <w:spacing w:after="0" w:line="240" w:lineRule="auto"/>
        <w:jc w:val="both"/>
        <w:rPr>
          <w:color w:val="000000"/>
          <w:sz w:val="20"/>
          <w:szCs w:val="20"/>
        </w:rPr>
      </w:pPr>
      <w:r>
        <w:rPr>
          <w:rFonts w:ascii="Times New Roman" w:eastAsia="Times New Roman" w:hAnsi="Times New Roman" w:cs="Times New Roman"/>
          <w:color w:val="000000"/>
          <w:sz w:val="20"/>
          <w:szCs w:val="20"/>
        </w:rPr>
        <w:t>.</w:t>
      </w:r>
    </w:p>
  </w:footnote>
  <w:footnote w:id="9">
    <w:p w:rsidR="00D67A42" w:rsidRDefault="00F4783A">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MAZZA EDIÇÕES. Mazza Edições – Pioneirismo e Resistência, 2021. A Editora. Disponível em: &lt;</w:t>
      </w:r>
      <w:hyperlink r:id="rId6">
        <w:r>
          <w:rPr>
            <w:rFonts w:ascii="Times New Roman" w:eastAsia="Times New Roman" w:hAnsi="Times New Roman" w:cs="Times New Roman"/>
            <w:color w:val="000000"/>
            <w:sz w:val="20"/>
            <w:szCs w:val="20"/>
          </w:rPr>
          <w:t>https://</w:t>
        </w:r>
      </w:hyperlink>
      <w:r>
        <w:rPr>
          <w:color w:val="000000"/>
          <w:sz w:val="20"/>
          <w:szCs w:val="20"/>
        </w:rPr>
        <w:t xml:space="preserve"> </w:t>
      </w:r>
      <w:r>
        <w:rPr>
          <w:rFonts w:ascii="Times New Roman" w:eastAsia="Times New Roman" w:hAnsi="Times New Roman" w:cs="Times New Roman"/>
          <w:color w:val="000000"/>
          <w:sz w:val="20"/>
          <w:szCs w:val="20"/>
        </w:rPr>
        <w:t>mazzaedicoes.com.br/a-editora/&gt;. Acesso em: 12 maio 2021..</w:t>
      </w:r>
    </w:p>
  </w:footnote>
  <w:footnote w:id="10">
    <w:p w:rsidR="00D67A42" w:rsidRDefault="00F4783A">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r>
        <w:rPr>
          <w:vertAlign w:val="superscript"/>
        </w:rPr>
        <w:footnoteRef/>
      </w:r>
      <w:r>
        <w:rPr>
          <w:rFonts w:ascii="Times New Roman" w:eastAsia="Times New Roman" w:hAnsi="Times New Roman" w:cs="Times New Roman"/>
          <w:color w:val="000000"/>
          <w:sz w:val="20"/>
          <w:szCs w:val="20"/>
        </w:rPr>
        <w:t>MAZZA EDIÇÕES. Mazza Edições</w:t>
      </w:r>
      <w:r>
        <w:rPr>
          <w:rFonts w:ascii="Times New Roman" w:eastAsia="Times New Roman" w:hAnsi="Times New Roman" w:cs="Times New Roman"/>
          <w:color w:val="000000"/>
          <w:sz w:val="20"/>
          <w:szCs w:val="20"/>
        </w:rPr>
        <w:t xml:space="preserve"> – Pioneirismo e Resistência, 2021. Página inicial. Disponível em: &lt;</w:t>
      </w:r>
      <w:hyperlink r:id="rId7">
        <w:r>
          <w:rPr>
            <w:rFonts w:ascii="Times New Roman" w:eastAsia="Times New Roman" w:hAnsi="Times New Roman" w:cs="Times New Roman"/>
            <w:color w:val="000000"/>
            <w:sz w:val="20"/>
            <w:szCs w:val="20"/>
          </w:rPr>
          <w:t>https://www.mazzaedicoes.com.br</w:t>
        </w:r>
      </w:hyperlink>
      <w:r>
        <w:rPr>
          <w:rFonts w:ascii="Times New Roman" w:eastAsia="Times New Roman" w:hAnsi="Times New Roman" w:cs="Times New Roman"/>
          <w:color w:val="000000"/>
          <w:sz w:val="20"/>
          <w:szCs w:val="20"/>
        </w:rPr>
        <w:t>&gt;. Acesso em: 12 maio 2021.</w:t>
      </w:r>
    </w:p>
    <w:p w:rsidR="00D67A42" w:rsidRDefault="00F4783A">
      <w:p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color w:val="000000"/>
          <w:sz w:val="20"/>
          <w:szCs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42" w:rsidRDefault="00F4783A">
    <w:pPr>
      <w:pBdr>
        <w:top w:val="nil"/>
        <w:left w:val="nil"/>
        <w:bottom w:val="nil"/>
        <w:right w:val="nil"/>
        <w:between w:val="nil"/>
      </w:pBdr>
      <w:spacing w:after="0" w:line="240" w:lineRule="auto"/>
      <w:jc w:val="right"/>
      <w:rPr>
        <w:color w:val="000000"/>
      </w:rPr>
    </w:pPr>
    <w:r>
      <w:rPr>
        <w:color w:val="000000"/>
      </w:rPr>
      <w:fldChar w:fldCharType="begin"/>
    </w:r>
    <w:r>
      <w:rPr>
        <w:color w:val="000000"/>
      </w:rPr>
      <w:instrText>PAGE</w:instrText>
    </w:r>
    <w:r w:rsidR="00F84E83">
      <w:rPr>
        <w:color w:val="000000"/>
      </w:rPr>
      <w:fldChar w:fldCharType="separate"/>
    </w:r>
    <w:r w:rsidR="00F84E83">
      <w:rPr>
        <w:noProof/>
        <w:color w:val="000000"/>
      </w:rPr>
      <w:t>3</w:t>
    </w:r>
    <w:r>
      <w:rPr>
        <w:color w:val="000000"/>
      </w:rPr>
      <w:fldChar w:fldCharType="end"/>
    </w:r>
  </w:p>
  <w:p w:rsidR="00D67A42" w:rsidRDefault="00D67A42">
    <w:pPr>
      <w:pBdr>
        <w:top w:val="nil"/>
        <w:left w:val="nil"/>
        <w:bottom w:val="nil"/>
        <w:right w:val="nil"/>
        <w:between w:val="nil"/>
      </w:pBdr>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A42" w:rsidRDefault="00D67A4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A42"/>
    <w:rsid w:val="00D67A42"/>
    <w:rsid w:val="00F4783A"/>
    <w:rsid w:val="00F84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E61C"/>
  <w15:docId w15:val="{3392FFD2-5660-4751-82F1-8133A901E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F84E8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84E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hyperlink" Target="https://doi.org/10.17851/2317-2096.28.4.155-170"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mazzaedicoes.com.br/" TargetMode="External"/><Relationship Id="rId17" Type="http://schemas.openxmlformats.org/officeDocument/2006/relationships/hyperlink" Target="https://www.mazzaedicoes.com.br/" TargetMode="External"/><Relationship Id="rId2" Type="http://schemas.openxmlformats.org/officeDocument/2006/relationships/settings" Target="settings.xml"/><Relationship Id="rId16" Type="http://schemas.openxmlformats.org/officeDocument/2006/relationships/hyperlink" Target="https://mazzaedicoes.com.br/"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mailto:henriqueletras@yahoo.com.br" TargetMode="External"/><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6.png"/><Relationship Id="rId10" Type="http://schemas.openxmlformats.org/officeDocument/2006/relationships/hyperlink" Target="https://mazzaedicoes.com.br/"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mazzaedicoes.com.b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azzaedicoes.com.br/" TargetMode="External"/><Relationship Id="rId7" Type="http://schemas.openxmlformats.org/officeDocument/2006/relationships/hyperlink" Target="https://www.mazzaedicoes.com.br/" TargetMode="External"/><Relationship Id="rId2" Type="http://schemas.openxmlformats.org/officeDocument/2006/relationships/hyperlink" Target="https://www.mazzaedicoes.com.br/" TargetMode="External"/><Relationship Id="rId1" Type="http://schemas.openxmlformats.org/officeDocument/2006/relationships/hyperlink" Target="https://www.mazzaedicoes.com.br/" TargetMode="External"/><Relationship Id="rId6" Type="http://schemas.openxmlformats.org/officeDocument/2006/relationships/hyperlink" Target="https://www.mazzaedicoes.com.br/" TargetMode="External"/><Relationship Id="rId5" Type="http://schemas.openxmlformats.org/officeDocument/2006/relationships/hyperlink" Target="https://www.mazzaedicoes.com.br/" TargetMode="External"/><Relationship Id="rId4" Type="http://schemas.openxmlformats.org/officeDocument/2006/relationships/hyperlink" Target="https://www.mazzaedicoes.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5369</Words>
  <Characters>28997</Characters>
  <Application>Microsoft Office Word</Application>
  <DocSecurity>0</DocSecurity>
  <Lines>241</Lines>
  <Paragraphs>68</Paragraphs>
  <ScaleCrop>false</ScaleCrop>
  <Company/>
  <LinksUpToDate>false</LinksUpToDate>
  <CharactersWithSpaces>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Stéphanie Rodrigues</cp:lastModifiedBy>
  <cp:revision>2</cp:revision>
  <dcterms:created xsi:type="dcterms:W3CDTF">2022-06-06T15:20:00Z</dcterms:created>
  <dcterms:modified xsi:type="dcterms:W3CDTF">2022-06-06T15:24:00Z</dcterms:modified>
</cp:coreProperties>
</file>