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B7" w:rsidRPr="003779C6" w:rsidRDefault="0084373C" w:rsidP="00546DBF">
      <w:pPr>
        <w:shd w:val="clear" w:color="auto" w:fill="FFFFFF"/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bookmarkStart w:id="0" w:name="_Hlk95407939"/>
      <w:bookmarkStart w:id="1" w:name="_Hlk115288271"/>
      <w:r w:rsidRPr="003779C6">
        <w:rPr>
          <w:rFonts w:ascii="Times New Roman" w:hAnsi="Times New Roman" w:cs="Times New Roman"/>
          <w:sz w:val="24"/>
          <w:szCs w:val="24"/>
        </w:rPr>
        <w:t xml:space="preserve">REME •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>. 2025;29</w:t>
      </w:r>
      <w:r w:rsidR="006519B7" w:rsidRPr="003779C6">
        <w:rPr>
          <w:rFonts w:ascii="Times New Roman" w:hAnsi="Times New Roman" w:cs="Times New Roman"/>
          <w:sz w:val="24"/>
          <w:szCs w:val="24"/>
        </w:rPr>
        <w:t>:e-</w:t>
      </w:r>
      <w:r w:rsidR="002A1A36" w:rsidRPr="003779C6">
        <w:rPr>
          <w:rFonts w:ascii="Times New Roman" w:hAnsi="Times New Roman" w:cs="Times New Roman"/>
          <w:sz w:val="24"/>
          <w:szCs w:val="24"/>
        </w:rPr>
        <w:t>1586</w:t>
      </w:r>
    </w:p>
    <w:p w:rsidR="00D343FD" w:rsidRPr="003779C6" w:rsidRDefault="006519B7" w:rsidP="00D343FD">
      <w:pPr>
        <w:shd w:val="clear" w:color="auto" w:fill="FFFFFF"/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3779C6">
        <w:rPr>
          <w:rFonts w:ascii="Times New Roman" w:hAnsi="Times New Roman" w:cs="Times New Roman"/>
          <w:sz w:val="24"/>
          <w:szCs w:val="24"/>
        </w:rPr>
        <w:t xml:space="preserve">DOI: </w:t>
      </w:r>
      <w:r w:rsidR="0084373C" w:rsidRPr="003779C6">
        <w:rPr>
          <w:rFonts w:ascii="Times New Roman" w:hAnsi="Times New Roman" w:cs="Times New Roman"/>
        </w:rPr>
        <w:t>10.35699/2316-9389.2025.</w:t>
      </w:r>
      <w:r w:rsidR="002A1A36" w:rsidRPr="003779C6">
        <w:rPr>
          <w:rFonts w:ascii="Times New Roman" w:hAnsi="Times New Roman" w:cs="Times New Roman"/>
        </w:rPr>
        <w:t>58933</w:t>
      </w:r>
    </w:p>
    <w:p w:rsidR="006519B7" w:rsidRPr="003779C6" w:rsidRDefault="006519B7" w:rsidP="00546D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PESQUISA</w:t>
      </w:r>
    </w:p>
    <w:p w:rsidR="009F0CFB" w:rsidRPr="003779C6" w:rsidRDefault="009F0CFB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9B7" w:rsidRPr="003779C6" w:rsidRDefault="0025296F" w:rsidP="0025296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sz w:val="24"/>
          <w:szCs w:val="24"/>
        </w:rPr>
        <w:t xml:space="preserve">IMPACTO DO </w:t>
      </w:r>
      <w:r w:rsidRPr="003779C6">
        <w:rPr>
          <w:rFonts w:ascii="Times New Roman" w:eastAsia="Times New Roman" w:hAnsi="Times New Roman" w:cs="Times New Roman"/>
          <w:i/>
          <w:iCs/>
          <w:sz w:val="24"/>
          <w:szCs w:val="24"/>
        </w:rPr>
        <w:t>DEBRIEFING</w:t>
      </w:r>
      <w:r w:rsidRPr="003779C6">
        <w:rPr>
          <w:rFonts w:ascii="Times New Roman" w:eastAsia="Times New Roman" w:hAnsi="Times New Roman" w:cs="Times New Roman"/>
          <w:sz w:val="24"/>
          <w:szCs w:val="24"/>
        </w:rPr>
        <w:t xml:space="preserve"> NO DESENVOLVIMENTO DE COMPETÊNCIAS CLÍNICAS EM SEPSE ENTRE ESTUDANTES: ESTUDO QUASE-EXPERIMENTAL</w:t>
      </w:r>
    </w:p>
    <w:p w:rsidR="006519B7" w:rsidRPr="003779C6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9B7" w:rsidRPr="00D96A69" w:rsidRDefault="00445EF6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color w:val="FF66FF"/>
          <w:sz w:val="24"/>
          <w:szCs w:val="24"/>
          <w:lang w:val="es-ES"/>
        </w:rPr>
      </w:pPr>
      <w:r w:rsidRPr="00445EF6">
        <w:rPr>
          <w:rFonts w:ascii="Times New Roman" w:hAnsi="Times New Roman" w:cs="Times New Roman"/>
          <w:color w:val="FF66FF"/>
          <w:sz w:val="24"/>
          <w:szCs w:val="24"/>
          <w:lang w:val="es-ES"/>
        </w:rPr>
        <w:t>TÍTULO EM INGLÊS</w:t>
      </w:r>
    </w:p>
    <w:p w:rsidR="006519B7" w:rsidRPr="00D96A69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19B7" w:rsidRPr="00D96A69" w:rsidRDefault="00445EF6" w:rsidP="00546DBF">
      <w:pPr>
        <w:autoSpaceDE w:val="0"/>
        <w:autoSpaceDN w:val="0"/>
        <w:adjustRightInd w:val="0"/>
        <w:spacing w:line="240" w:lineRule="auto"/>
        <w:ind w:hanging="2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IMPACTO DEL </w:t>
      </w:r>
      <w:r w:rsidRPr="00445EF6">
        <w:rPr>
          <w:rFonts w:ascii="Times New Roman" w:hAnsi="Times New Roman" w:cs="Times New Roman"/>
          <w:i/>
          <w:iCs/>
          <w:sz w:val="24"/>
          <w:szCs w:val="24"/>
          <w:lang w:val="es-ES"/>
        </w:rPr>
        <w:t>DEBRIEFING</w:t>
      </w:r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 EN EL DESARROLLO DE COMPETENCIAS CLÍNICAS EN SEPSIS ENTRE ESTUDIANTES: ESTUDIO CUASI-EXPERIMENTAL</w:t>
      </w:r>
    </w:p>
    <w:p w:rsidR="006519B7" w:rsidRPr="00D96A69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9F0CFB" w:rsidRPr="003779C6" w:rsidRDefault="00256813" w:rsidP="009F0CFB">
      <w:pPr>
        <w:pStyle w:val="Default"/>
        <w:jc w:val="both"/>
        <w:rPr>
          <w:sz w:val="20"/>
          <w:szCs w:val="20"/>
        </w:rPr>
      </w:pPr>
      <w:proofErr w:type="spellStart"/>
      <w:r w:rsidRPr="003779C6">
        <w:rPr>
          <w:sz w:val="20"/>
          <w:szCs w:val="20"/>
        </w:rPr>
        <w:t>Terezino</w:t>
      </w:r>
      <w:proofErr w:type="spellEnd"/>
      <w:r w:rsidRPr="003779C6">
        <w:rPr>
          <w:sz w:val="20"/>
          <w:szCs w:val="20"/>
        </w:rPr>
        <w:t xml:space="preserve"> Lara </w:t>
      </w:r>
      <w:proofErr w:type="spellStart"/>
      <w:r w:rsidRPr="003779C6">
        <w:rPr>
          <w:sz w:val="20"/>
          <w:szCs w:val="20"/>
        </w:rPr>
        <w:t>Sant</w:t>
      </w:r>
      <w:r w:rsidR="00C45B3F" w:rsidRPr="003779C6">
        <w:rPr>
          <w:sz w:val="20"/>
          <w:szCs w:val="20"/>
        </w:rPr>
        <w:t>´</w:t>
      </w:r>
      <w:r w:rsidR="0025296F" w:rsidRPr="003779C6">
        <w:rPr>
          <w:sz w:val="20"/>
          <w:szCs w:val="20"/>
        </w:rPr>
        <w:t>A</w:t>
      </w:r>
      <w:r w:rsidRPr="003779C6">
        <w:rPr>
          <w:sz w:val="20"/>
          <w:szCs w:val="20"/>
        </w:rPr>
        <w:t>na</w:t>
      </w:r>
      <w:proofErr w:type="spellEnd"/>
      <w:r w:rsidR="009F0CFB" w:rsidRPr="003779C6">
        <w:rPr>
          <w:sz w:val="20"/>
          <w:szCs w:val="20"/>
          <w:vertAlign w:val="superscript"/>
        </w:rPr>
        <w:t>1</w:t>
      </w:r>
      <w:r w:rsidR="009F0CFB" w:rsidRPr="003779C6">
        <w:rPr>
          <w:sz w:val="20"/>
          <w:szCs w:val="20"/>
        </w:rPr>
        <w:t xml:space="preserve"> </w:t>
      </w:r>
    </w:p>
    <w:p w:rsidR="0025296F" w:rsidRPr="003779C6" w:rsidRDefault="00445EF6" w:rsidP="0025296F">
      <w:pPr>
        <w:tabs>
          <w:tab w:val="righ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56813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https://orcid.org/0000-0002-6039-131X</w:t>
        </w:r>
      </w:hyperlink>
    </w:p>
    <w:p w:rsidR="0025296F" w:rsidRPr="003779C6" w:rsidRDefault="0025296F" w:rsidP="009F0CFB">
      <w:pPr>
        <w:pStyle w:val="Default"/>
        <w:jc w:val="both"/>
        <w:rPr>
          <w:sz w:val="20"/>
          <w:szCs w:val="20"/>
        </w:rPr>
      </w:pPr>
    </w:p>
    <w:p w:rsidR="006519B7" w:rsidRPr="003779C6" w:rsidRDefault="00256813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t>Fábio da Costa Carbogim</w:t>
      </w:r>
      <w:r w:rsidR="0098776D" w:rsidRPr="003779C6">
        <w:rPr>
          <w:sz w:val="20"/>
          <w:szCs w:val="20"/>
          <w:vertAlign w:val="superscript"/>
        </w:rPr>
        <w:t>1</w:t>
      </w:r>
    </w:p>
    <w:p w:rsidR="009F0CFB" w:rsidRPr="003779C6" w:rsidRDefault="00445EF6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="00256813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https://orcid.org/0000-0003-2065-5998</w:t>
        </w:r>
      </w:hyperlink>
    </w:p>
    <w:p w:rsidR="00256813" w:rsidRPr="003779C6" w:rsidRDefault="00256813" w:rsidP="00546DBF">
      <w:pPr>
        <w:tabs>
          <w:tab w:val="righ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0CFB" w:rsidRPr="003779C6" w:rsidRDefault="00256813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t>André Luiz Silva Alvim</w:t>
      </w:r>
      <w:r w:rsidR="0098776D" w:rsidRPr="003779C6">
        <w:rPr>
          <w:sz w:val="20"/>
          <w:szCs w:val="20"/>
          <w:vertAlign w:val="superscript"/>
        </w:rPr>
        <w:t>1</w:t>
      </w:r>
    </w:p>
    <w:p w:rsidR="009F0CFB" w:rsidRPr="003779C6" w:rsidRDefault="00445EF6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256813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https://orcid.org/0000-0001-6119-6762</w:t>
        </w:r>
      </w:hyperlink>
    </w:p>
    <w:p w:rsidR="00256813" w:rsidRPr="003779C6" w:rsidRDefault="00256813" w:rsidP="00546DBF">
      <w:pPr>
        <w:tabs>
          <w:tab w:val="righ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0CFB" w:rsidRPr="003779C6" w:rsidRDefault="00256813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t>Ricardo Bezerra Cavalcante</w:t>
      </w:r>
      <w:r w:rsidR="0098776D" w:rsidRPr="003779C6">
        <w:rPr>
          <w:sz w:val="20"/>
          <w:szCs w:val="20"/>
          <w:vertAlign w:val="superscript"/>
        </w:rPr>
        <w:t>1</w:t>
      </w:r>
      <w:r w:rsidR="009F0CFB" w:rsidRPr="003779C6">
        <w:rPr>
          <w:sz w:val="20"/>
          <w:szCs w:val="20"/>
          <w:vertAlign w:val="superscript"/>
        </w:rPr>
        <w:t xml:space="preserve"> </w:t>
      </w:r>
    </w:p>
    <w:p w:rsidR="009F0CFB" w:rsidRPr="003779C6" w:rsidRDefault="00445EF6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256813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https://orcid.org/0000-0001-5381-4815</w:t>
        </w:r>
      </w:hyperlink>
    </w:p>
    <w:p w:rsidR="00256813" w:rsidRPr="003779C6" w:rsidRDefault="00256813" w:rsidP="00546DBF">
      <w:pPr>
        <w:tabs>
          <w:tab w:val="righ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0CFB" w:rsidRPr="003779C6" w:rsidRDefault="00256813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t>Roberta Teixeira Prado</w:t>
      </w:r>
      <w:r w:rsidR="0098776D" w:rsidRPr="003779C6">
        <w:rPr>
          <w:sz w:val="20"/>
          <w:szCs w:val="20"/>
          <w:vertAlign w:val="superscript"/>
        </w:rPr>
        <w:t>1</w:t>
      </w:r>
      <w:r w:rsidR="009F0CFB" w:rsidRPr="003779C6">
        <w:rPr>
          <w:sz w:val="20"/>
          <w:szCs w:val="20"/>
        </w:rPr>
        <w:t xml:space="preserve"> </w:t>
      </w:r>
    </w:p>
    <w:p w:rsidR="009F0CFB" w:rsidRPr="003779C6" w:rsidRDefault="00445EF6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256813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https://orcid.org/0000-0001-8738-2248</w:t>
        </w:r>
      </w:hyperlink>
    </w:p>
    <w:p w:rsidR="00256813" w:rsidRPr="003779C6" w:rsidRDefault="00256813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CFB" w:rsidRPr="003779C6" w:rsidRDefault="00AA31D5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t xml:space="preserve">Adriana Elisa </w:t>
      </w:r>
      <w:proofErr w:type="spellStart"/>
      <w:r w:rsidRPr="003779C6">
        <w:rPr>
          <w:sz w:val="20"/>
          <w:szCs w:val="20"/>
        </w:rPr>
        <w:t>Carcereri</w:t>
      </w:r>
      <w:proofErr w:type="spellEnd"/>
      <w:r w:rsidRPr="003779C6">
        <w:rPr>
          <w:sz w:val="20"/>
          <w:szCs w:val="20"/>
        </w:rPr>
        <w:t xml:space="preserve"> de Oliveira</w:t>
      </w:r>
      <w:r w:rsidR="00256813" w:rsidRPr="003779C6">
        <w:rPr>
          <w:sz w:val="20"/>
          <w:szCs w:val="20"/>
          <w:vertAlign w:val="superscript"/>
        </w:rPr>
        <w:t>1</w:t>
      </w:r>
      <w:r w:rsidR="009F0CFB" w:rsidRPr="003779C6">
        <w:rPr>
          <w:sz w:val="20"/>
          <w:szCs w:val="20"/>
          <w:vertAlign w:val="superscript"/>
        </w:rPr>
        <w:t xml:space="preserve"> </w:t>
      </w:r>
    </w:p>
    <w:p w:rsidR="00AA31D5" w:rsidRPr="003779C6" w:rsidRDefault="00445EF6" w:rsidP="009F0CFB">
      <w:pPr>
        <w:pStyle w:val="Default"/>
        <w:jc w:val="both"/>
        <w:rPr>
          <w:sz w:val="20"/>
          <w:szCs w:val="20"/>
        </w:rPr>
      </w:pPr>
      <w:hyperlink r:id="rId13" w:history="1">
        <w:r w:rsidR="00AA31D5" w:rsidRPr="003779C6">
          <w:rPr>
            <w:rStyle w:val="Hyperlink"/>
            <w:sz w:val="20"/>
            <w:szCs w:val="20"/>
          </w:rPr>
          <w:t>https://orcid.org/0000-0001-9806-2274</w:t>
        </w:r>
      </w:hyperlink>
    </w:p>
    <w:p w:rsidR="009F0CFB" w:rsidRPr="003779C6" w:rsidRDefault="009F0CFB" w:rsidP="009F0CFB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</w:rPr>
        <w:br/>
      </w:r>
      <w:r w:rsidR="00AA31D5" w:rsidRPr="003779C6">
        <w:rPr>
          <w:sz w:val="20"/>
          <w:szCs w:val="20"/>
        </w:rPr>
        <w:t xml:space="preserve">Maria Paula </w:t>
      </w:r>
      <w:proofErr w:type="spellStart"/>
      <w:r w:rsidR="00AA31D5" w:rsidRPr="003779C6">
        <w:rPr>
          <w:sz w:val="20"/>
          <w:szCs w:val="20"/>
        </w:rPr>
        <w:t>Taligliatti</w:t>
      </w:r>
      <w:proofErr w:type="spellEnd"/>
      <w:r w:rsidR="00AA31D5" w:rsidRPr="003779C6">
        <w:rPr>
          <w:sz w:val="20"/>
          <w:szCs w:val="20"/>
        </w:rPr>
        <w:t xml:space="preserve"> Luciano</w:t>
      </w:r>
      <w:r w:rsidR="0098776D" w:rsidRPr="003779C6">
        <w:rPr>
          <w:sz w:val="20"/>
          <w:szCs w:val="20"/>
          <w:vertAlign w:val="superscript"/>
        </w:rPr>
        <w:t>1</w:t>
      </w:r>
      <w:r w:rsidRPr="003779C6">
        <w:rPr>
          <w:sz w:val="20"/>
          <w:szCs w:val="20"/>
        </w:rPr>
        <w:t xml:space="preserve"> </w:t>
      </w:r>
    </w:p>
    <w:p w:rsidR="00256813" w:rsidRPr="003779C6" w:rsidRDefault="00445EF6" w:rsidP="00256813">
      <w:pPr>
        <w:pStyle w:val="Default"/>
        <w:jc w:val="both"/>
        <w:rPr>
          <w:rFonts w:eastAsia="Times New Roman"/>
          <w:sz w:val="20"/>
          <w:szCs w:val="20"/>
        </w:rPr>
      </w:pPr>
      <w:hyperlink r:id="rId14" w:history="1">
        <w:r w:rsidR="00AA31D5" w:rsidRPr="003779C6">
          <w:rPr>
            <w:rStyle w:val="Hyperlink"/>
            <w:rFonts w:eastAsia="Times New Roman"/>
            <w:sz w:val="20"/>
            <w:szCs w:val="20"/>
          </w:rPr>
          <w:t>https://orcid.org/0000-0003-0645-0910</w:t>
        </w:r>
      </w:hyperlink>
    </w:p>
    <w:p w:rsidR="00256813" w:rsidRPr="003779C6" w:rsidRDefault="00256813" w:rsidP="00256813">
      <w:pPr>
        <w:pStyle w:val="Default"/>
        <w:jc w:val="both"/>
        <w:rPr>
          <w:sz w:val="20"/>
          <w:szCs w:val="20"/>
        </w:rPr>
      </w:pPr>
      <w:r w:rsidRPr="003779C6">
        <w:rPr>
          <w:rFonts w:eastAsia="Times New Roman"/>
          <w:sz w:val="20"/>
          <w:szCs w:val="20"/>
        </w:rPr>
        <w:br/>
      </w:r>
      <w:r w:rsidR="00AA31D5" w:rsidRPr="003779C6">
        <w:rPr>
          <w:sz w:val="20"/>
          <w:szCs w:val="20"/>
        </w:rPr>
        <w:t>Priscila Aparecida da Silva Toledo do Carmo</w:t>
      </w:r>
      <w:r w:rsidRPr="003779C6">
        <w:rPr>
          <w:sz w:val="20"/>
          <w:szCs w:val="20"/>
          <w:vertAlign w:val="superscript"/>
        </w:rPr>
        <w:t xml:space="preserve">1 </w:t>
      </w:r>
    </w:p>
    <w:p w:rsidR="00AA31D5" w:rsidRPr="003779C6" w:rsidRDefault="00445EF6" w:rsidP="00256813">
      <w:pPr>
        <w:pStyle w:val="Default"/>
        <w:jc w:val="both"/>
        <w:rPr>
          <w:sz w:val="20"/>
          <w:szCs w:val="20"/>
        </w:rPr>
      </w:pPr>
      <w:hyperlink r:id="rId15" w:history="1">
        <w:r w:rsidR="00AA31D5" w:rsidRPr="003779C6">
          <w:rPr>
            <w:rStyle w:val="Hyperlink"/>
            <w:sz w:val="20"/>
            <w:szCs w:val="20"/>
          </w:rPr>
          <w:t>https://orcid.org/0009-0004-4692-6367</w:t>
        </w:r>
      </w:hyperlink>
    </w:p>
    <w:p w:rsidR="006519B7" w:rsidRPr="003779C6" w:rsidRDefault="00256813" w:rsidP="00AA31D5">
      <w:pPr>
        <w:pStyle w:val="Default"/>
        <w:jc w:val="both"/>
        <w:rPr>
          <w:rFonts w:eastAsia="Times New Roman"/>
        </w:rPr>
      </w:pPr>
      <w:r w:rsidRPr="003779C6">
        <w:rPr>
          <w:sz w:val="20"/>
          <w:szCs w:val="20"/>
        </w:rPr>
        <w:br/>
      </w:r>
    </w:p>
    <w:p w:rsidR="006519B7" w:rsidRPr="003779C6" w:rsidRDefault="0098776D" w:rsidP="0098776D">
      <w:pPr>
        <w:pStyle w:val="Default"/>
        <w:jc w:val="both"/>
        <w:rPr>
          <w:sz w:val="20"/>
          <w:szCs w:val="20"/>
        </w:rPr>
      </w:pPr>
      <w:r w:rsidRPr="003779C6">
        <w:rPr>
          <w:sz w:val="20"/>
          <w:szCs w:val="20"/>
          <w:vertAlign w:val="superscript"/>
        </w:rPr>
        <w:t>1</w:t>
      </w:r>
      <w:r w:rsidR="00AA31D5" w:rsidRPr="003779C6">
        <w:rPr>
          <w:sz w:val="20"/>
          <w:szCs w:val="20"/>
        </w:rPr>
        <w:t>Universidade Federal de Juiz de Fora. Faculdade de Enfermagem. Juiz de Fora, MG - Brasil</w:t>
      </w:r>
    </w:p>
    <w:p w:rsidR="00EF5A24" w:rsidRPr="003779C6" w:rsidRDefault="00EF5A24" w:rsidP="00546DBF">
      <w:p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B7" w:rsidRPr="003779C6" w:rsidRDefault="006519B7" w:rsidP="0098776D">
      <w:pPr>
        <w:pStyle w:val="Default"/>
        <w:jc w:val="both"/>
        <w:rPr>
          <w:sz w:val="20"/>
          <w:szCs w:val="20"/>
        </w:rPr>
      </w:pPr>
      <w:r w:rsidRPr="003779C6">
        <w:rPr>
          <w:b/>
        </w:rPr>
        <w:t>Autor Correspondente</w:t>
      </w:r>
      <w:r w:rsidRPr="003779C6">
        <w:t xml:space="preserve">: </w:t>
      </w:r>
      <w:r w:rsidR="00AA31D5" w:rsidRPr="003779C6">
        <w:rPr>
          <w:sz w:val="20"/>
          <w:szCs w:val="20"/>
        </w:rPr>
        <w:t xml:space="preserve">Fábio da Costa </w:t>
      </w:r>
      <w:proofErr w:type="spellStart"/>
      <w:r w:rsidR="00AA31D5" w:rsidRPr="003779C6">
        <w:rPr>
          <w:sz w:val="20"/>
          <w:szCs w:val="20"/>
        </w:rPr>
        <w:t>Carbogim</w:t>
      </w:r>
      <w:proofErr w:type="spellEnd"/>
    </w:p>
    <w:p w:rsidR="006519B7" w:rsidRPr="003779C6" w:rsidRDefault="006519B7" w:rsidP="00546DBF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779C6">
        <w:rPr>
          <w:rFonts w:ascii="Times New Roman" w:hAnsi="Times New Roman" w:cs="Times New Roman"/>
          <w:i/>
          <w:sz w:val="24"/>
          <w:szCs w:val="24"/>
        </w:rPr>
        <w:t>E-mail</w:t>
      </w:r>
      <w:r w:rsidRPr="003779C6">
        <w:rPr>
          <w:rFonts w:ascii="Times New Roman" w:hAnsi="Times New Roman" w:cs="Times New Roman"/>
          <w:sz w:val="24"/>
          <w:szCs w:val="24"/>
        </w:rPr>
        <w:t xml:space="preserve">: </w:t>
      </w:r>
      <w:r w:rsidR="00AA31D5" w:rsidRPr="003779C6">
        <w:rPr>
          <w:rFonts w:ascii="Times New Roman" w:eastAsia="Times New Roman" w:hAnsi="Times New Roman" w:cs="Times New Roman"/>
          <w:sz w:val="20"/>
          <w:szCs w:val="20"/>
        </w:rPr>
        <w:t>fabiocarbogim@gmail.com</w:t>
      </w:r>
    </w:p>
    <w:p w:rsidR="006519B7" w:rsidRPr="003779C6" w:rsidRDefault="006519B7" w:rsidP="00546DBF">
      <w:pPr>
        <w:shd w:val="clear" w:color="auto" w:fill="FFFFFF"/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08511761"/>
    </w:p>
    <w:p w:rsidR="006519B7" w:rsidRPr="003779C6" w:rsidRDefault="006519B7" w:rsidP="00546DBF">
      <w:pPr>
        <w:shd w:val="clear" w:color="auto" w:fill="FFFFFF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Contribuições dos autores</w:t>
      </w:r>
      <w:r w:rsidRPr="003779C6">
        <w:rPr>
          <w:rFonts w:ascii="Times New Roman" w:hAnsi="Times New Roman" w:cs="Times New Roman"/>
          <w:sz w:val="24"/>
          <w:szCs w:val="24"/>
        </w:rPr>
        <w:t>:</w:t>
      </w:r>
    </w:p>
    <w:p w:rsidR="00AA31D5" w:rsidRPr="003779C6" w:rsidRDefault="00AA31D5" w:rsidP="00AA3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8511834"/>
      <w:bookmarkEnd w:id="2"/>
      <w:r w:rsidRPr="003779C6">
        <w:rPr>
          <w:rFonts w:ascii="Times New Roman" w:hAnsi="Times New Roman" w:cs="Times New Roman"/>
          <w:b/>
          <w:i/>
          <w:sz w:val="24"/>
          <w:szCs w:val="24"/>
        </w:rPr>
        <w:t>Análise Estatística</w:t>
      </w:r>
      <w:r w:rsidR="006519B7" w:rsidRPr="003779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296F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Pr="003779C6">
        <w:rPr>
          <w:rFonts w:ascii="Times New Roman" w:hAnsi="Times New Roman" w:cs="Times New Roman"/>
          <w:sz w:val="24"/>
          <w:szCs w:val="24"/>
        </w:rPr>
        <w:t xml:space="preserve">Fábio C.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AF1D16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Ricardo B. Cavalcante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25296F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="0098776D" w:rsidRPr="003779C6">
        <w:rPr>
          <w:rFonts w:ascii="Times New Roman" w:hAnsi="Times New Roman" w:cs="Times New Roman"/>
          <w:sz w:val="24"/>
          <w:szCs w:val="24"/>
        </w:rPr>
        <w:t>;</w:t>
      </w:r>
      <w:r w:rsidR="00E84908" w:rsidRPr="003779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>Coleta de Dados</w:t>
      </w:r>
      <w:r w:rsidR="006519B7" w:rsidRPr="003779C6">
        <w:rPr>
          <w:rFonts w:ascii="Times New Roman" w:hAnsi="Times New Roman" w:cs="Times New Roman"/>
          <w:sz w:val="24"/>
          <w:szCs w:val="24"/>
        </w:rPr>
        <w:t>:</w:t>
      </w:r>
      <w:r w:rsidR="0098776D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Ricardo B. Cavalcante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25296F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25296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="0098776D" w:rsidRPr="003779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79C6">
        <w:rPr>
          <w:rFonts w:ascii="Times New Roman" w:hAnsi="Times New Roman" w:cs="Times New Roman"/>
          <w:b/>
          <w:i/>
          <w:sz w:val="24"/>
          <w:szCs w:val="24"/>
        </w:rPr>
        <w:t>Conceitualiza</w:t>
      </w:r>
      <w:r w:rsidR="006519B7" w:rsidRPr="003779C6">
        <w:rPr>
          <w:rFonts w:ascii="Times New Roman" w:hAnsi="Times New Roman" w:cs="Times New Roman"/>
          <w:b/>
          <w:i/>
          <w:sz w:val="24"/>
          <w:szCs w:val="24"/>
        </w:rPr>
        <w:t>ção</w:t>
      </w:r>
      <w:proofErr w:type="spellEnd"/>
      <w:r w:rsidR="006519B7" w:rsidRPr="003779C6">
        <w:rPr>
          <w:rFonts w:ascii="Times New Roman" w:hAnsi="Times New Roman" w:cs="Times New Roman"/>
          <w:sz w:val="24"/>
          <w:szCs w:val="24"/>
        </w:rPr>
        <w:t>:</w:t>
      </w:r>
      <w:r w:rsidR="00E84908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Ricardo B. Cavalcante</w:t>
      </w:r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C45B3F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Pr="003779C6">
        <w:rPr>
          <w:rFonts w:ascii="Times New Roman" w:hAnsi="Times New Roman" w:cs="Times New Roman"/>
          <w:sz w:val="24"/>
          <w:szCs w:val="24"/>
        </w:rPr>
        <w:t>Luciano</w:t>
      </w:r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Carmo;</w:t>
      </w:r>
      <w:r w:rsidR="0098776D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>Gerencialmente do Projeto</w:t>
      </w:r>
      <w:r w:rsidR="006519B7" w:rsidRPr="003779C6">
        <w:rPr>
          <w:rFonts w:ascii="Times New Roman" w:hAnsi="Times New Roman" w:cs="Times New Roman"/>
          <w:sz w:val="24"/>
          <w:szCs w:val="24"/>
        </w:rPr>
        <w:t>: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>;</w:t>
      </w:r>
      <w:r w:rsidR="00AE2F1C" w:rsidRPr="003779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19B7" w:rsidRPr="003779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>Investigação</w:t>
      </w:r>
      <w:r w:rsidR="006519B7" w:rsidRPr="003779C6">
        <w:rPr>
          <w:rFonts w:ascii="Times New Roman" w:hAnsi="Times New Roman" w:cs="Times New Roman"/>
          <w:sz w:val="24"/>
          <w:szCs w:val="24"/>
        </w:rPr>
        <w:t>:</w:t>
      </w:r>
      <w:r w:rsidR="00723F40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5B3F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Ricardo B. Cavalcante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Roberta T. </w:t>
      </w:r>
      <w:r w:rsidRPr="003779C6">
        <w:rPr>
          <w:rFonts w:ascii="Times New Roman" w:hAnsi="Times New Roman" w:cs="Times New Roman"/>
          <w:sz w:val="24"/>
          <w:szCs w:val="24"/>
        </w:rPr>
        <w:lastRenderedPageBreak/>
        <w:t>Prado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Luciano; Priscila </w:t>
      </w:r>
      <w:proofErr w:type="spellStart"/>
      <w:r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="008E3BB1" w:rsidRPr="003779C6">
        <w:rPr>
          <w:rFonts w:ascii="Times New Roman" w:hAnsi="Times New Roman" w:cs="Times New Roman"/>
          <w:sz w:val="24"/>
          <w:szCs w:val="24"/>
        </w:rPr>
        <w:t>;</w:t>
      </w:r>
      <w:r w:rsidRPr="003779C6">
        <w:t xml:space="preserve">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Metodologia</w:t>
      </w:r>
      <w:r w:rsidR="00AE2F1C" w:rsidRPr="003779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Ricardo B. Cavalcante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C45B3F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Luciano;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; </w:t>
      </w:r>
      <w:r w:rsidR="00D7644E" w:rsidRPr="003779C6">
        <w:rPr>
          <w:rFonts w:ascii="Times New Roman" w:hAnsi="Times New Roman" w:cs="Times New Roman"/>
          <w:b/>
          <w:i/>
          <w:sz w:val="24"/>
          <w:szCs w:val="24"/>
        </w:rPr>
        <w:t>Redação – Preparo do Origi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nal</w:t>
      </w:r>
      <w:r w:rsidR="00AE2F1C" w:rsidRPr="003779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Alvim; Ricardo B. Cavalcante</w:t>
      </w:r>
      <w:r w:rsidR="00A3322C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A3322C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Carmo; 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Redação – Revisão e Edi</w:t>
      </w:r>
      <w:r w:rsidR="00AE2F1C" w:rsidRPr="003779C6">
        <w:rPr>
          <w:rFonts w:ascii="Times New Roman" w:hAnsi="Times New Roman" w:cs="Times New Roman"/>
          <w:b/>
          <w:i/>
          <w:sz w:val="24"/>
          <w:szCs w:val="24"/>
        </w:rPr>
        <w:t>ção:</w:t>
      </w:r>
      <w:r w:rsidR="00AE2F1C" w:rsidRPr="0037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; André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Alvim; Ricardo B. Cavalcante; Roberta T. Prado</w:t>
      </w:r>
      <w:r w:rsidR="00A3322C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Carmo;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Software</w:t>
      </w:r>
      <w:r w:rsidRPr="003779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="008E3BB1" w:rsidRPr="003779C6">
        <w:rPr>
          <w:rFonts w:ascii="Times New Roman" w:hAnsi="Times New Roman" w:cs="Times New Roman"/>
          <w:sz w:val="24"/>
          <w:szCs w:val="24"/>
        </w:rPr>
        <w:t>Alvim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>Ricardo B. Cavalcante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="008E3BB1" w:rsidRPr="003779C6">
        <w:rPr>
          <w:rFonts w:ascii="Times New Roman" w:hAnsi="Times New Roman" w:cs="Times New Roman"/>
          <w:sz w:val="24"/>
          <w:szCs w:val="24"/>
        </w:rPr>
        <w:t>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Pr="003779C6">
        <w:rPr>
          <w:rFonts w:ascii="Times New Roman" w:hAnsi="Times New Roman" w:cs="Times New Roman"/>
          <w:sz w:val="24"/>
          <w:szCs w:val="24"/>
        </w:rPr>
        <w:t xml:space="preserve">;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Supervisã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779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Pr="003779C6">
        <w:rPr>
          <w:rFonts w:ascii="Times New Roman" w:hAnsi="Times New Roman" w:cs="Times New Roman"/>
          <w:sz w:val="24"/>
          <w:szCs w:val="24"/>
        </w:rPr>
        <w:t xml:space="preserve">;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Valida</w:t>
      </w:r>
      <w:r w:rsidRPr="003779C6">
        <w:rPr>
          <w:rFonts w:ascii="Times New Roman" w:hAnsi="Times New Roman" w:cs="Times New Roman"/>
          <w:b/>
          <w:i/>
          <w:sz w:val="24"/>
          <w:szCs w:val="24"/>
        </w:rPr>
        <w:t>ção</w:t>
      </w:r>
      <w:r w:rsidRPr="003779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Sant'</w:t>
      </w:r>
      <w:r w:rsidR="00C45B3F" w:rsidRPr="003779C6">
        <w:rPr>
          <w:rFonts w:ascii="Times New Roman" w:hAnsi="Times New Roman" w:cs="Times New Roman"/>
          <w:sz w:val="24"/>
          <w:szCs w:val="24"/>
        </w:rPr>
        <w:t>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L.S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Alvim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>Ricardo B. Cavalcante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Pr="003779C6">
        <w:rPr>
          <w:rFonts w:ascii="Times New Roman" w:hAnsi="Times New Roman" w:cs="Times New Roman"/>
          <w:sz w:val="24"/>
          <w:szCs w:val="24"/>
        </w:rPr>
        <w:t xml:space="preserve">; </w:t>
      </w:r>
      <w:r w:rsidR="008E3BB1" w:rsidRPr="003779C6">
        <w:rPr>
          <w:rFonts w:ascii="Times New Roman" w:hAnsi="Times New Roman" w:cs="Times New Roman"/>
          <w:b/>
          <w:i/>
          <w:sz w:val="24"/>
          <w:szCs w:val="24"/>
        </w:rPr>
        <w:t>Visualização</w:t>
      </w:r>
      <w:r w:rsidRPr="003779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Terezino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Sant</w:t>
      </w:r>
      <w:r w:rsidR="00C45B3F" w:rsidRPr="003779C6">
        <w:rPr>
          <w:rFonts w:ascii="Times New Roman" w:hAnsi="Times New Roman" w:cs="Times New Roman"/>
          <w:sz w:val="24"/>
          <w:szCs w:val="24"/>
        </w:rPr>
        <w:t>´A</w:t>
      </w:r>
      <w:r w:rsidR="008E3BB1" w:rsidRPr="003779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Fábio C.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Carbogim</w:t>
      </w:r>
      <w:proofErr w:type="spellEnd"/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André L.S 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r w:rsidR="008E3BB1" w:rsidRPr="003779C6">
        <w:rPr>
          <w:rFonts w:ascii="Times New Roman" w:hAnsi="Times New Roman" w:cs="Times New Roman"/>
          <w:sz w:val="24"/>
          <w:szCs w:val="24"/>
        </w:rPr>
        <w:t>Alvim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>Ricardo B. Cavalcante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Roberta T. Prado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E.C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Oliveira</w:t>
      </w:r>
      <w:r w:rsidR="0083473B" w:rsidRPr="003779C6">
        <w:rPr>
          <w:rFonts w:ascii="Times New Roman" w:hAnsi="Times New Roman" w:cs="Times New Roman"/>
          <w:sz w:val="24"/>
          <w:szCs w:val="24"/>
        </w:rPr>
        <w:t xml:space="preserve">, 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P.T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Luciano</w:t>
      </w:r>
      <w:r w:rsidR="0083473B" w:rsidRPr="003779C6">
        <w:rPr>
          <w:rFonts w:ascii="Times New Roman" w:hAnsi="Times New Roman" w:cs="Times New Roman"/>
          <w:sz w:val="24"/>
          <w:szCs w:val="24"/>
        </w:rPr>
        <w:t>,</w:t>
      </w:r>
      <w:r w:rsidR="008E3BB1" w:rsidRPr="003779C6">
        <w:rPr>
          <w:rFonts w:ascii="Times New Roman" w:hAnsi="Times New Roman" w:cs="Times New Roman"/>
          <w:sz w:val="24"/>
          <w:szCs w:val="24"/>
        </w:rPr>
        <w:t xml:space="preserve"> Priscila </w:t>
      </w:r>
      <w:proofErr w:type="spellStart"/>
      <w:r w:rsidR="008E3BB1" w:rsidRPr="003779C6">
        <w:rPr>
          <w:rFonts w:ascii="Times New Roman" w:hAnsi="Times New Roman" w:cs="Times New Roman"/>
          <w:sz w:val="24"/>
          <w:szCs w:val="24"/>
        </w:rPr>
        <w:t>A.S.T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E3BB1" w:rsidRPr="003779C6">
        <w:rPr>
          <w:rFonts w:ascii="Times New Roman" w:hAnsi="Times New Roman" w:cs="Times New Roman"/>
          <w:sz w:val="24"/>
          <w:szCs w:val="24"/>
        </w:rPr>
        <w:t xml:space="preserve"> Carmo</w:t>
      </w:r>
      <w:r w:rsidR="0083473B" w:rsidRPr="003779C6">
        <w:rPr>
          <w:rFonts w:ascii="Times New Roman" w:hAnsi="Times New Roman" w:cs="Times New Roman"/>
          <w:sz w:val="24"/>
          <w:szCs w:val="24"/>
        </w:rPr>
        <w:t>.</w:t>
      </w:r>
      <w:r w:rsidR="008078BF"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Pr="003779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4908" w:rsidRPr="003779C6" w:rsidRDefault="00E84908" w:rsidP="00546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9B7" w:rsidRPr="003779C6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9C6">
        <w:rPr>
          <w:rFonts w:ascii="Times New Roman" w:hAnsi="Times New Roman" w:cs="Times New Roman"/>
          <w:b/>
          <w:sz w:val="24"/>
          <w:szCs w:val="24"/>
        </w:rPr>
        <w:t>Fomento</w:t>
      </w:r>
      <w:bookmarkEnd w:id="3"/>
      <w:r w:rsidRPr="003779C6">
        <w:rPr>
          <w:rFonts w:ascii="Times New Roman" w:hAnsi="Times New Roman" w:cs="Times New Roman"/>
          <w:sz w:val="24"/>
          <w:szCs w:val="24"/>
        </w:rPr>
        <w:t>:</w:t>
      </w:r>
      <w:r w:rsidR="00AE2F1C" w:rsidRPr="00377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houve financiamento.</w:t>
      </w:r>
    </w:p>
    <w:p w:rsidR="00EF5A24" w:rsidRPr="003779C6" w:rsidRDefault="00EF5A24" w:rsidP="00546DBF">
      <w:pPr>
        <w:spacing w:line="240" w:lineRule="auto"/>
        <w:ind w:hanging="2"/>
        <w:jc w:val="both"/>
        <w:rPr>
          <w:b/>
        </w:rPr>
      </w:pPr>
    </w:p>
    <w:p w:rsidR="006519B7" w:rsidRPr="003779C6" w:rsidRDefault="006519B7" w:rsidP="00546DBF">
      <w:pPr>
        <w:pStyle w:val="NormalWeb"/>
        <w:shd w:val="clear" w:color="auto" w:fill="FFFFFF"/>
        <w:spacing w:before="0" w:beforeAutospacing="0" w:after="0" w:afterAutospacing="0"/>
        <w:ind w:left="0" w:hanging="2"/>
      </w:pPr>
      <w:r w:rsidRPr="003779C6">
        <w:rPr>
          <w:b/>
        </w:rPr>
        <w:t>Submetido em</w:t>
      </w:r>
      <w:r w:rsidRPr="003779C6">
        <w:t xml:space="preserve">: </w:t>
      </w:r>
      <w:r w:rsidR="008E3BB1" w:rsidRPr="003779C6">
        <w:t>02/05</w:t>
      </w:r>
      <w:r w:rsidR="00AE2F1C" w:rsidRPr="003779C6">
        <w:t>/2025</w:t>
      </w:r>
    </w:p>
    <w:p w:rsidR="006519B7" w:rsidRPr="003779C6" w:rsidRDefault="006519B7" w:rsidP="00546DBF">
      <w:pPr>
        <w:pStyle w:val="NormalWeb"/>
        <w:shd w:val="clear" w:color="auto" w:fill="FFFFFF"/>
        <w:spacing w:before="0" w:beforeAutospacing="0" w:after="0" w:afterAutospacing="0"/>
        <w:ind w:left="0" w:hanging="2"/>
      </w:pPr>
      <w:r w:rsidRPr="003779C6">
        <w:rPr>
          <w:b/>
        </w:rPr>
        <w:t>Aprovado em</w:t>
      </w:r>
      <w:r w:rsidRPr="003779C6">
        <w:t xml:space="preserve">: </w:t>
      </w:r>
      <w:r w:rsidR="00AE2F1C" w:rsidRPr="003779C6">
        <w:t>16/10/2025</w:t>
      </w:r>
    </w:p>
    <w:p w:rsidR="006519B7" w:rsidRPr="003779C6" w:rsidRDefault="006519B7" w:rsidP="00546DBF">
      <w:pPr>
        <w:pStyle w:val="NormalWeb"/>
        <w:shd w:val="clear" w:color="auto" w:fill="FFFFFF"/>
        <w:spacing w:before="0" w:beforeAutospacing="0" w:after="0" w:afterAutospacing="0"/>
        <w:ind w:left="0" w:hanging="2"/>
      </w:pPr>
    </w:p>
    <w:p w:rsidR="00E84908" w:rsidRPr="003779C6" w:rsidRDefault="006519B7" w:rsidP="00546DBF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</w:pPr>
      <w:r w:rsidRPr="003779C6">
        <w:rPr>
          <w:b/>
        </w:rPr>
        <w:t>Editores Responsáveis</w:t>
      </w:r>
      <w:r w:rsidR="00E84908" w:rsidRPr="003779C6">
        <w:t>:</w:t>
      </w:r>
    </w:p>
    <w:p w:rsidR="00E84908" w:rsidRPr="003779C6" w:rsidRDefault="00AE2F1C" w:rsidP="00546D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C6">
        <w:rPr>
          <w:rFonts w:ascii="Times New Roman" w:hAnsi="Times New Roman" w:cs="Times New Roman"/>
          <w:bCs/>
          <w:sz w:val="24"/>
          <w:szCs w:val="24"/>
        </w:rPr>
        <w:t xml:space="preserve">José </w:t>
      </w:r>
      <w:proofErr w:type="spellStart"/>
      <w:r w:rsidRPr="003779C6">
        <w:rPr>
          <w:rFonts w:ascii="Times New Roman" w:hAnsi="Times New Roman" w:cs="Times New Roman"/>
          <w:bCs/>
          <w:sz w:val="24"/>
          <w:szCs w:val="24"/>
        </w:rPr>
        <w:t>Wicto</w:t>
      </w:r>
      <w:proofErr w:type="spellEnd"/>
      <w:r w:rsidRPr="003779C6">
        <w:rPr>
          <w:rFonts w:ascii="Times New Roman" w:hAnsi="Times New Roman" w:cs="Times New Roman"/>
          <w:bCs/>
          <w:sz w:val="24"/>
          <w:szCs w:val="24"/>
        </w:rPr>
        <w:t xml:space="preserve"> Pereira Borges</w:t>
      </w:r>
    </w:p>
    <w:p w:rsidR="00E84908" w:rsidRPr="003779C6" w:rsidRDefault="00AE2F1C" w:rsidP="00546D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C6">
        <w:rPr>
          <w:rFonts w:ascii="Times New Roman" w:hAnsi="Times New Roman" w:cs="Times New Roman"/>
          <w:sz w:val="24"/>
          <w:szCs w:val="24"/>
        </w:rPr>
        <w:t>https://orcid.org/0000-0002-3292-1942</w:t>
      </w:r>
    </w:p>
    <w:p w:rsidR="00E84908" w:rsidRPr="003779C6" w:rsidRDefault="00E84908" w:rsidP="00546DB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19B7" w:rsidRPr="003779C6" w:rsidRDefault="00AE2F1C" w:rsidP="00546DB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9C6">
        <w:rPr>
          <w:rFonts w:ascii="Times New Roman" w:hAnsi="Times New Roman" w:cs="Times New Roman"/>
          <w:bCs/>
          <w:sz w:val="24"/>
          <w:szCs w:val="24"/>
        </w:rPr>
        <w:t>Luciana Regina Ferreira da Mata</w:t>
      </w:r>
    </w:p>
    <w:p w:rsidR="00E84908" w:rsidRPr="003779C6" w:rsidRDefault="00AE2F1C" w:rsidP="00546DBF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779C6">
        <w:rPr>
          <w:rFonts w:ascii="Times New Roman" w:hAnsi="Times New Roman" w:cs="Times New Roman"/>
          <w:sz w:val="24"/>
          <w:szCs w:val="24"/>
        </w:rPr>
        <w:t>https://orcid.org/0000-0002-5080-4643</w:t>
      </w:r>
    </w:p>
    <w:p w:rsidR="00AE2F1C" w:rsidRPr="003779C6" w:rsidRDefault="00AE2F1C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B16D5" w:rsidRPr="003779C6" w:rsidRDefault="006519B7" w:rsidP="00AF1D16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8E3BB1" w:rsidRPr="003779C6" w:rsidRDefault="008E3BB1" w:rsidP="00AF1D1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779C6">
        <w:rPr>
          <w:rFonts w:ascii="Times New Roman" w:hAnsi="Times New Roman" w:cs="Times New Roman"/>
          <w:b/>
          <w:bCs/>
          <w:sz w:val="20"/>
          <w:szCs w:val="20"/>
        </w:rPr>
        <w:t xml:space="preserve">Objetivo: </w:t>
      </w:r>
      <w:r w:rsidRPr="003779C6">
        <w:rPr>
          <w:rFonts w:ascii="Times New Roman" w:hAnsi="Times New Roman" w:cs="Times New Roman"/>
          <w:sz w:val="20"/>
          <w:szCs w:val="20"/>
        </w:rPr>
        <w:t>avaliar</w:t>
      </w:r>
      <w:r w:rsidRPr="003779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o impacto do </w:t>
      </w:r>
      <w:proofErr w:type="spellStart"/>
      <w:r w:rsidRPr="003779C6">
        <w:rPr>
          <w:rFonts w:ascii="Times New Roman" w:hAnsi="Times New Roman" w:cs="Times New Roman"/>
          <w:bCs/>
          <w:i/>
          <w:iCs/>
          <w:sz w:val="20"/>
          <w:szCs w:val="20"/>
        </w:rPr>
        <w:t>debriefing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associado ao cenário de simulação clínica no conhecimento e nas habilidades de estudantes de enfermagem no manejo do paciente com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sepse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>.</w:t>
      </w:r>
      <w:r w:rsidRPr="003779C6">
        <w:rPr>
          <w:rFonts w:ascii="Times New Roman" w:hAnsi="Times New Roman" w:cs="Times New Roman"/>
          <w:b/>
          <w:bCs/>
          <w:sz w:val="20"/>
          <w:szCs w:val="20"/>
        </w:rPr>
        <w:t xml:space="preserve"> Método: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E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studo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quase-experimental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, do tipo antes e depois, realizado com 20 estudantes de enfermagem de uma universidade pública. Os dados foram coletados por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meio de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questionário sociodemográfico, pré e pós-teste validado sobre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sepse</w:t>
      </w:r>
      <w:proofErr w:type="spellEnd"/>
      <w:r w:rsidR="001B16D5" w:rsidRPr="003779C6">
        <w:rPr>
          <w:rFonts w:ascii="Times New Roman" w:hAnsi="Times New Roman" w:cs="Times New Roman"/>
          <w:bCs/>
          <w:sz w:val="20"/>
          <w:szCs w:val="20"/>
        </w:rPr>
        <w:t>,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e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checklist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de habilidades.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Para as variáveis qualitativas, utilizou-se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estatística descritiva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;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para a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 idade, foram calculadas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média e desvio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padrão. A comparação dos escores pré e pós-intervenção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foi realizada pel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o teste de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Wilcoxon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, com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cálculo do efeit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o pela estatística r de Rosenthal. A mudança na classificação global no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checklist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de habilidades foi avaliada pelo teste de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McNemar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>, adequado para variáveis categóricas pareadas, e a consistência interna foi me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nsura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da pelo alfa de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Cronbach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(significância de 5%).</w:t>
      </w:r>
      <w:r w:rsidRPr="003779C6">
        <w:rPr>
          <w:rFonts w:ascii="Times New Roman" w:hAnsi="Times New Roman" w:cs="Times New Roman"/>
          <w:b/>
          <w:bCs/>
          <w:sz w:val="20"/>
          <w:szCs w:val="20"/>
        </w:rPr>
        <w:t xml:space="preserve">Resultados: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O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conhecimento dos estudantes no pós-teste foi significativamente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maior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(p&lt;0,05)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do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que no pré-teste, assim como as habilidades a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valiadas a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ntes e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após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o </w:t>
      </w:r>
      <w:proofErr w:type="spellStart"/>
      <w:r w:rsidRPr="003779C6">
        <w:rPr>
          <w:rFonts w:ascii="Times New Roman" w:hAnsi="Times New Roman" w:cs="Times New Roman"/>
          <w:bCs/>
          <w:i/>
          <w:iCs/>
          <w:sz w:val="20"/>
          <w:szCs w:val="20"/>
        </w:rPr>
        <w:t>debriefing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>. A média d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as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notas no pré-teste foi 2,50(±1,23) e, no pós-teste, 5,95(±1,14) (p&lt;0,001).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A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 média do somatório do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checklist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da simulação antes do </w:t>
      </w:r>
      <w:proofErr w:type="spellStart"/>
      <w:r w:rsidRPr="003779C6">
        <w:rPr>
          <w:rFonts w:ascii="Times New Roman" w:hAnsi="Times New Roman" w:cs="Times New Roman"/>
          <w:bCs/>
          <w:i/>
          <w:iCs/>
          <w:sz w:val="20"/>
          <w:szCs w:val="20"/>
        </w:rPr>
        <w:t>debriefing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 xml:space="preserve"> foi 11,45(±3,85) e, após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o </w:t>
      </w:r>
      <w:proofErr w:type="spellStart"/>
      <w:r w:rsidRPr="003779C6">
        <w:rPr>
          <w:rFonts w:ascii="Times New Roman" w:hAnsi="Times New Roman" w:cs="Times New Roman"/>
          <w:bCs/>
          <w:i/>
          <w:iCs/>
          <w:sz w:val="20"/>
          <w:szCs w:val="20"/>
        </w:rPr>
        <w:t>debriefing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>, 14,80(±1,79) (p=0,002).</w:t>
      </w:r>
      <w:r w:rsidRPr="003779C6">
        <w:rPr>
          <w:rFonts w:ascii="Times New Roman" w:hAnsi="Times New Roman" w:cs="Times New Roman"/>
          <w:b/>
          <w:bCs/>
          <w:sz w:val="20"/>
          <w:szCs w:val="20"/>
        </w:rPr>
        <w:t xml:space="preserve"> Conclusão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>O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s resultados demonstram a eficácia da intervenção, que promoveu significativa ampliação do conhecimento e </w:t>
      </w:r>
      <w:r w:rsidR="001B16D5" w:rsidRPr="003779C6">
        <w:rPr>
          <w:rFonts w:ascii="Times New Roman" w:hAnsi="Times New Roman" w:cs="Times New Roman"/>
          <w:bCs/>
          <w:sz w:val="20"/>
          <w:szCs w:val="20"/>
        </w:rPr>
        <w:t xml:space="preserve">das </w:t>
      </w:r>
      <w:r w:rsidRPr="003779C6">
        <w:rPr>
          <w:rFonts w:ascii="Times New Roman" w:hAnsi="Times New Roman" w:cs="Times New Roman"/>
          <w:bCs/>
          <w:sz w:val="20"/>
          <w:szCs w:val="20"/>
        </w:rPr>
        <w:t xml:space="preserve">habilidades no manejo da </w:t>
      </w:r>
      <w:proofErr w:type="spellStart"/>
      <w:r w:rsidRPr="003779C6">
        <w:rPr>
          <w:rFonts w:ascii="Times New Roman" w:hAnsi="Times New Roman" w:cs="Times New Roman"/>
          <w:bCs/>
          <w:sz w:val="20"/>
          <w:szCs w:val="20"/>
        </w:rPr>
        <w:t>sepse</w:t>
      </w:r>
      <w:proofErr w:type="spellEnd"/>
      <w:r w:rsidRPr="003779C6">
        <w:rPr>
          <w:rFonts w:ascii="Times New Roman" w:hAnsi="Times New Roman" w:cs="Times New Roman"/>
          <w:bCs/>
          <w:sz w:val="20"/>
          <w:szCs w:val="20"/>
        </w:rPr>
        <w:t>.</w:t>
      </w:r>
    </w:p>
    <w:p w:rsidR="0084373C" w:rsidRPr="003779C6" w:rsidRDefault="0084373C" w:rsidP="00AF1D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3779C6">
        <w:rPr>
          <w:rFonts w:ascii="Times New Roman" w:hAnsi="Times New Roman" w:cs="Times New Roman"/>
          <w:sz w:val="24"/>
          <w:szCs w:val="24"/>
        </w:rPr>
        <w:t xml:space="preserve"> </w:t>
      </w:r>
      <w:r w:rsidR="009F04E7" w:rsidRPr="003779C6">
        <w:rPr>
          <w:rFonts w:ascii="Times New Roman" w:hAnsi="Times New Roman" w:cs="Times New Roman"/>
          <w:sz w:val="24"/>
          <w:szCs w:val="24"/>
        </w:rPr>
        <w:t xml:space="preserve">Treinamento por Simulação; Educação em Enfermagem; Ensino; Estudantes de Enfermagem; Competência Clínica; </w:t>
      </w:r>
      <w:proofErr w:type="spellStart"/>
      <w:r w:rsidR="009F04E7" w:rsidRPr="003779C6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9F04E7" w:rsidRPr="003779C6">
        <w:rPr>
          <w:rFonts w:ascii="Times New Roman" w:hAnsi="Times New Roman" w:cs="Times New Roman"/>
          <w:sz w:val="24"/>
          <w:szCs w:val="24"/>
        </w:rPr>
        <w:t>.</w:t>
      </w:r>
    </w:p>
    <w:p w:rsidR="006519B7" w:rsidRPr="003779C6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9B7" w:rsidRPr="00D96A69" w:rsidRDefault="00445EF6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5EF6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6519B7" w:rsidRPr="00D96A69" w:rsidRDefault="00445EF6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5EF6">
        <w:rPr>
          <w:rFonts w:ascii="Times New Roman" w:hAnsi="Times New Roman" w:cs="Times New Roman"/>
          <w:color w:val="FF66FF"/>
          <w:sz w:val="24"/>
          <w:szCs w:val="24"/>
          <w:lang w:val="en-US"/>
        </w:rPr>
        <w:t>@@@@@@@@@@@@@@@@@@@@@@@@@@@@@@@@@@@@@@</w:t>
      </w:r>
    </w:p>
    <w:p w:rsidR="00AF1D16" w:rsidRPr="00D96A69" w:rsidRDefault="00445EF6" w:rsidP="00AF1D16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EF6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445EF6">
        <w:rPr>
          <w:rFonts w:ascii="Times New Roman" w:hAnsi="Times New Roman" w:cs="Times New Roman"/>
          <w:sz w:val="24"/>
          <w:szCs w:val="24"/>
          <w:lang w:val="en-US"/>
        </w:rPr>
        <w:t>: Simulation Training; Education, Nursing; Teaching; Students, Nursing; Clinical Competence; Sepsis.</w:t>
      </w:r>
    </w:p>
    <w:p w:rsidR="006519B7" w:rsidRPr="00D96A69" w:rsidRDefault="006519B7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30E2" w:rsidRPr="00D96A69" w:rsidRDefault="002530E2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30E2" w:rsidRPr="00D96A69" w:rsidRDefault="002530E2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30E2" w:rsidRPr="00D96A69" w:rsidRDefault="002530E2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30E2" w:rsidRPr="00D96A69" w:rsidRDefault="002530E2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19B7" w:rsidRPr="003779C6" w:rsidRDefault="006519B7" w:rsidP="00546DBF">
      <w:pPr>
        <w:spacing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3779C6">
        <w:rPr>
          <w:rFonts w:ascii="Times New Roman" w:hAnsi="Times New Roman" w:cs="Times New Roman"/>
          <w:b/>
          <w:i/>
          <w:sz w:val="24"/>
          <w:szCs w:val="24"/>
        </w:rPr>
        <w:t>Como citar este artigo</w:t>
      </w:r>
      <w:r w:rsidRPr="003779C6">
        <w:rPr>
          <w:rFonts w:ascii="Times New Roman" w:hAnsi="Times New Roman" w:cs="Times New Roman"/>
          <w:sz w:val="24"/>
          <w:szCs w:val="24"/>
        </w:rPr>
        <w:t>:</w:t>
      </w:r>
    </w:p>
    <w:p w:rsidR="008078BF" w:rsidRPr="003779C6" w:rsidRDefault="009F04E7" w:rsidP="00265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779C6">
        <w:rPr>
          <w:rFonts w:ascii="Times New Roman" w:eastAsia="Times New Roman" w:hAnsi="Times New Roman" w:cs="Times New Roman"/>
          <w:sz w:val="20"/>
          <w:szCs w:val="20"/>
        </w:rPr>
        <w:t>Sant</w:t>
      </w:r>
      <w:r w:rsidR="00C45B3F" w:rsidRPr="003779C6">
        <w:rPr>
          <w:rFonts w:ascii="Times New Roman" w:eastAsia="Times New Roman" w:hAnsi="Times New Roman" w:cs="Times New Roman"/>
          <w:sz w:val="20"/>
          <w:szCs w:val="20"/>
        </w:rPr>
        <w:t>´A</w:t>
      </w:r>
      <w:r w:rsidRPr="003779C6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3779C6">
        <w:rPr>
          <w:rFonts w:ascii="Times New Roman" w:eastAsia="Times New Roman" w:hAnsi="Times New Roman" w:cs="Times New Roman"/>
          <w:sz w:val="20"/>
          <w:szCs w:val="20"/>
        </w:rPr>
        <w:t xml:space="preserve"> TL, </w:t>
      </w:r>
      <w:proofErr w:type="spellStart"/>
      <w:r w:rsidRPr="003779C6">
        <w:rPr>
          <w:rFonts w:ascii="Times New Roman" w:eastAsia="Times New Roman" w:hAnsi="Times New Roman" w:cs="Times New Roman"/>
          <w:sz w:val="20"/>
          <w:szCs w:val="20"/>
        </w:rPr>
        <w:t>Carbogim</w:t>
      </w:r>
      <w:proofErr w:type="spellEnd"/>
      <w:r w:rsidRPr="003779C6">
        <w:rPr>
          <w:rFonts w:ascii="Times New Roman" w:eastAsia="Times New Roman" w:hAnsi="Times New Roman" w:cs="Times New Roman"/>
          <w:sz w:val="20"/>
          <w:szCs w:val="20"/>
        </w:rPr>
        <w:t xml:space="preserve"> FC, Alvim ALS, Cavalcante RB, Prado RT, Oliveira AEC, Luciano MPT, Carmo PAST.</w:t>
      </w:r>
      <w:r w:rsidR="0084373C" w:rsidRPr="003779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644E" w:rsidRPr="003779C6">
        <w:rPr>
          <w:rFonts w:ascii="Times New Roman" w:eastAsia="Times New Roman" w:hAnsi="Times New Roman" w:cs="Times New Roman"/>
          <w:sz w:val="20"/>
          <w:szCs w:val="20"/>
        </w:rPr>
        <w:t xml:space="preserve">Impacto do </w:t>
      </w:r>
      <w:proofErr w:type="spellStart"/>
      <w:r w:rsidR="00D7644E" w:rsidRPr="003779C6">
        <w:rPr>
          <w:rFonts w:ascii="Times New Roman" w:eastAsia="Times New Roman" w:hAnsi="Times New Roman" w:cs="Times New Roman"/>
          <w:i/>
          <w:iCs/>
          <w:sz w:val="20"/>
          <w:szCs w:val="20"/>
        </w:rPr>
        <w:t>Debriefing</w:t>
      </w:r>
      <w:proofErr w:type="spellEnd"/>
      <w:r w:rsidR="00D7644E" w:rsidRPr="003779C6"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 xml:space="preserve">desenvolvimento de competências clínicas em </w:t>
      </w:r>
      <w:proofErr w:type="spellStart"/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>sepse</w:t>
      </w:r>
      <w:proofErr w:type="spellEnd"/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 xml:space="preserve"> entre estudantes</w:t>
      </w:r>
      <w:r w:rsidR="00D7644E" w:rsidRPr="003779C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 xml:space="preserve">estudo </w:t>
      </w:r>
      <w:proofErr w:type="spellStart"/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>q</w:t>
      </w:r>
      <w:r w:rsidR="00D7644E" w:rsidRPr="003779C6">
        <w:rPr>
          <w:rFonts w:ascii="Times New Roman" w:eastAsia="Times New Roman" w:hAnsi="Times New Roman" w:cs="Times New Roman"/>
          <w:sz w:val="20"/>
          <w:szCs w:val="20"/>
        </w:rPr>
        <w:t>uase-</w:t>
      </w:r>
      <w:r w:rsidR="0083473B" w:rsidRPr="003779C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79C6">
        <w:rPr>
          <w:rFonts w:ascii="Times New Roman" w:eastAsia="Times New Roman" w:hAnsi="Times New Roman" w:cs="Times New Roman"/>
          <w:sz w:val="20"/>
          <w:szCs w:val="20"/>
        </w:rPr>
        <w:t>xperimental</w:t>
      </w:r>
      <w:proofErr w:type="spellEnd"/>
      <w:r w:rsidR="006519B7" w:rsidRPr="003779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4373C" w:rsidRPr="003779C6">
        <w:rPr>
          <w:rFonts w:ascii="Times New Roman" w:hAnsi="Times New Roman" w:cs="Times New Roman"/>
          <w:sz w:val="20"/>
          <w:szCs w:val="20"/>
        </w:rPr>
        <w:t xml:space="preserve">REME - </w:t>
      </w:r>
      <w:proofErr w:type="spellStart"/>
      <w:r w:rsidR="0084373C"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="0084373C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373C" w:rsidRPr="003779C6">
        <w:rPr>
          <w:rFonts w:ascii="Times New Roman" w:hAnsi="Times New Roman" w:cs="Times New Roman"/>
          <w:sz w:val="20"/>
          <w:szCs w:val="20"/>
        </w:rPr>
        <w:t>Min</w:t>
      </w:r>
      <w:proofErr w:type="spellEnd"/>
      <w:r w:rsidR="0084373C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373C"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="0084373C" w:rsidRPr="003779C6">
        <w:rPr>
          <w:rFonts w:ascii="Times New Roman" w:hAnsi="Times New Roman" w:cs="Times New Roman"/>
          <w:sz w:val="20"/>
          <w:szCs w:val="20"/>
        </w:rPr>
        <w:t>. 2025[citado em ____ ___ __];29</w:t>
      </w:r>
      <w:r w:rsidR="006519B7" w:rsidRPr="003779C6">
        <w:rPr>
          <w:rFonts w:ascii="Times New Roman" w:hAnsi="Times New Roman" w:cs="Times New Roman"/>
          <w:sz w:val="20"/>
          <w:szCs w:val="20"/>
        </w:rPr>
        <w:t>:e-</w:t>
      </w:r>
      <w:r w:rsidR="002A1A36" w:rsidRPr="003779C6">
        <w:rPr>
          <w:rFonts w:ascii="Times New Roman" w:hAnsi="Times New Roman" w:cs="Times New Roman"/>
          <w:sz w:val="20"/>
          <w:szCs w:val="20"/>
        </w:rPr>
        <w:t>1586</w:t>
      </w:r>
      <w:r w:rsidR="006519B7" w:rsidRPr="003779C6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6" w:history="1">
        <w:r w:rsidR="002A1A36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https://doi.org/10.35699/2316-9389.2025.58933</w:t>
        </w:r>
      </w:hyperlink>
    </w:p>
    <w:p w:rsidR="006519B7" w:rsidRPr="003779C6" w:rsidRDefault="006519B7" w:rsidP="00546DBF">
      <w:pPr>
        <w:tabs>
          <w:tab w:val="left" w:pos="2863"/>
        </w:tabs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3znysh7" w:colFirst="0" w:colLast="0"/>
      <w:bookmarkEnd w:id="4"/>
    </w:p>
    <w:p w:rsidR="001B16D5" w:rsidRPr="00D96A69" w:rsidRDefault="00445EF6" w:rsidP="001B16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45EF6">
        <w:rPr>
          <w:rFonts w:ascii="Times New Roman" w:hAnsi="Times New Roman" w:cs="Times New Roman"/>
          <w:b/>
          <w:sz w:val="24"/>
          <w:szCs w:val="24"/>
          <w:lang w:val="es-ES"/>
        </w:rPr>
        <w:t>RESUMEN</w:t>
      </w:r>
    </w:p>
    <w:p w:rsidR="001B16D5" w:rsidRPr="00D96A69" w:rsidRDefault="00445EF6" w:rsidP="001B16D5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445EF6">
        <w:rPr>
          <w:rFonts w:ascii="Times New Roman" w:hAnsi="Times New Roman" w:cs="Times New Roman"/>
          <w:b/>
          <w:sz w:val="20"/>
          <w:szCs w:val="20"/>
          <w:lang w:val="es-ES"/>
        </w:rPr>
        <w:t>Objetivo:</w:t>
      </w:r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evaluar el impacto del </w:t>
      </w:r>
      <w:proofErr w:type="spellStart"/>
      <w:r w:rsidRPr="00445EF6">
        <w:rPr>
          <w:rFonts w:ascii="Times New Roman" w:hAnsi="Times New Roman" w:cs="Times New Roman"/>
          <w:bCs/>
          <w:i/>
          <w:iCs/>
          <w:sz w:val="20"/>
          <w:szCs w:val="20"/>
          <w:lang w:val="es-ES"/>
        </w:rPr>
        <w:t>debriefing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asociado al escenario de simulación clínica en el conocimiento y las habilidades de estudiantes de enfermería en el manejo del paciente con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sepsis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. </w:t>
      </w:r>
      <w:r w:rsidRPr="00445EF6">
        <w:rPr>
          <w:rFonts w:ascii="Times New Roman" w:hAnsi="Times New Roman" w:cs="Times New Roman"/>
          <w:b/>
          <w:sz w:val="20"/>
          <w:szCs w:val="20"/>
          <w:lang w:val="es-ES"/>
        </w:rPr>
        <w:t>Método:</w:t>
      </w:r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estudio cuasi-experimental, del tipo antes y después, realizado con 20 estudiantes de enfermería de una universidad pública. Los datos fueron recopilados mediante un cuestionario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sociodemográfico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, un pre y post-test validado sobre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sepsis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y una lista de verificación de habilidades. Se realizó estadística descriptiva para las variables cualitativas y la media y desviación estándar para la edad. La comparación de los puntajes pre y post-intervención utilizó la prueba de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Wilcoxon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, con efecto calculado mediante la estadística r de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Rosenthal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. El cambio en la clasificación global en la lista de verificación de habilidades fue evaluado mediante la prueba de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McNemar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, adecuada para variables categóricas emparejadas, y la consistencia interna se midió mediante el alfa de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Cronbach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(significancia del 5%). </w:t>
      </w:r>
      <w:r w:rsidRPr="00445EF6">
        <w:rPr>
          <w:rFonts w:ascii="Times New Roman" w:hAnsi="Times New Roman" w:cs="Times New Roman"/>
          <w:b/>
          <w:sz w:val="20"/>
          <w:szCs w:val="20"/>
          <w:lang w:val="es-ES"/>
        </w:rPr>
        <w:t>Resultados:</w:t>
      </w:r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el conocimiento de los estudiantes en el post-test fue significativamente (p&lt;0,05) mayor que en el pre-test, al igual que en relación con las habilidades antes y después del </w:t>
      </w:r>
      <w:proofErr w:type="spellStart"/>
      <w:r w:rsidRPr="00445EF6">
        <w:rPr>
          <w:rFonts w:ascii="Times New Roman" w:hAnsi="Times New Roman" w:cs="Times New Roman"/>
          <w:bCs/>
          <w:i/>
          <w:iCs/>
          <w:sz w:val="20"/>
          <w:szCs w:val="20"/>
          <w:lang w:val="es-ES"/>
        </w:rPr>
        <w:t>debriefing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. La media de notas en el pre-test fue 2,50(±1,23) y, en el post-test, fue 5,95(±1,14) (p&lt;0,001). La media del sumatorio de la lista de verificación de la simulación antes del </w:t>
      </w:r>
      <w:proofErr w:type="spellStart"/>
      <w:r w:rsidRPr="00445EF6">
        <w:rPr>
          <w:rFonts w:ascii="Times New Roman" w:hAnsi="Times New Roman" w:cs="Times New Roman"/>
          <w:bCs/>
          <w:i/>
          <w:iCs/>
          <w:sz w:val="20"/>
          <w:szCs w:val="20"/>
          <w:lang w:val="es-ES"/>
        </w:rPr>
        <w:t>debriefing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fue 11,45(±3,85) y, después del </w:t>
      </w:r>
      <w:proofErr w:type="spellStart"/>
      <w:r w:rsidRPr="00445EF6">
        <w:rPr>
          <w:rFonts w:ascii="Times New Roman" w:hAnsi="Times New Roman" w:cs="Times New Roman"/>
          <w:bCs/>
          <w:i/>
          <w:iCs/>
          <w:sz w:val="20"/>
          <w:szCs w:val="20"/>
          <w:lang w:val="es-ES"/>
        </w:rPr>
        <w:t>debriefing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, fue 14,80(±1,79) (p=0,002). </w:t>
      </w:r>
      <w:r w:rsidRPr="00445EF6">
        <w:rPr>
          <w:rFonts w:ascii="Times New Roman" w:hAnsi="Times New Roman" w:cs="Times New Roman"/>
          <w:b/>
          <w:sz w:val="20"/>
          <w:szCs w:val="20"/>
          <w:lang w:val="es-ES"/>
        </w:rPr>
        <w:t>Conclusión:</w:t>
      </w:r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los resultados demuestran la eficacia de la intervención, que promovió una significativa ampliación del conocimiento y habilidades en el manejo de la </w:t>
      </w:r>
      <w:proofErr w:type="spellStart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sepsis</w:t>
      </w:r>
      <w:proofErr w:type="spellEnd"/>
      <w:r w:rsidRPr="00445EF6">
        <w:rPr>
          <w:rFonts w:ascii="Times New Roman" w:hAnsi="Times New Roman" w:cs="Times New Roman"/>
          <w:bCs/>
          <w:sz w:val="20"/>
          <w:szCs w:val="20"/>
          <w:lang w:val="es-ES"/>
        </w:rPr>
        <w:t>.</w:t>
      </w:r>
    </w:p>
    <w:p w:rsidR="00AF1D16" w:rsidRPr="00D96A69" w:rsidRDefault="00445EF6" w:rsidP="00AF1D16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45EF6">
        <w:rPr>
          <w:rFonts w:ascii="Times New Roman" w:hAnsi="Times New Roman" w:cs="Times New Roman"/>
          <w:b/>
          <w:sz w:val="24"/>
          <w:szCs w:val="24"/>
          <w:lang w:val="es-ES"/>
        </w:rPr>
        <w:t>Palabras clave</w:t>
      </w:r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: Entrenamiento Simulado; Educación </w:t>
      </w:r>
      <w:proofErr w:type="spellStart"/>
      <w:r w:rsidRPr="00445EF6">
        <w:rPr>
          <w:rFonts w:ascii="Times New Roman" w:hAnsi="Times New Roman" w:cs="Times New Roman"/>
          <w:sz w:val="24"/>
          <w:szCs w:val="24"/>
          <w:lang w:val="es-ES"/>
        </w:rPr>
        <w:t>em</w:t>
      </w:r>
      <w:proofErr w:type="spellEnd"/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 Enfermería; Enseñanza; Estudiantes de Enfermería; Competencia </w:t>
      </w:r>
      <w:proofErr w:type="spellStart"/>
      <w:r w:rsidRPr="00445EF6">
        <w:rPr>
          <w:rFonts w:ascii="Times New Roman" w:hAnsi="Times New Roman" w:cs="Times New Roman"/>
          <w:sz w:val="24"/>
          <w:szCs w:val="24"/>
          <w:lang w:val="es-ES"/>
        </w:rPr>
        <w:t>Clinica</w:t>
      </w:r>
      <w:proofErr w:type="spellEnd"/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445EF6">
        <w:rPr>
          <w:rFonts w:ascii="Times New Roman" w:hAnsi="Times New Roman" w:cs="Times New Roman"/>
          <w:sz w:val="24"/>
          <w:szCs w:val="24"/>
          <w:lang w:val="es-ES"/>
        </w:rPr>
        <w:t>Sepsis</w:t>
      </w:r>
      <w:proofErr w:type="spellEnd"/>
      <w:r w:rsidRPr="00445EF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6519B7" w:rsidRPr="00D96A69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bookmarkEnd w:id="0"/>
    <w:bookmarkEnd w:id="1"/>
    <w:p w:rsidR="00392A18" w:rsidRPr="00D96A69" w:rsidRDefault="00392A18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</w:p>
    <w:p w:rsidR="00DD7FFD" w:rsidRPr="003779C6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546DBF"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NTRODUÇÃO</w:t>
      </w:r>
    </w:p>
    <w:p w:rsidR="0084373C" w:rsidRPr="003779C6" w:rsidRDefault="0084373C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</w:t>
      </w:r>
      <w:r w:rsidR="005465CE" w:rsidRPr="003779C6">
        <w:rPr>
          <w:rFonts w:ascii="Times New Roman" w:hAnsi="Times New Roman"/>
          <w:sz w:val="24"/>
          <w:szCs w:val="24"/>
        </w:rPr>
        <w:t>constitui</w:t>
      </w:r>
      <w:r w:rsidRPr="003779C6">
        <w:rPr>
          <w:rFonts w:ascii="Times New Roman" w:hAnsi="Times New Roman"/>
          <w:sz w:val="24"/>
          <w:szCs w:val="24"/>
        </w:rPr>
        <w:t xml:space="preserve"> um grave problema de saúde pública em escala global, </w:t>
      </w:r>
      <w:r w:rsidR="005465CE" w:rsidRPr="003779C6">
        <w:rPr>
          <w:rFonts w:ascii="Times New Roman" w:hAnsi="Times New Roman"/>
          <w:sz w:val="24"/>
          <w:szCs w:val="24"/>
        </w:rPr>
        <w:t>representa</w:t>
      </w:r>
      <w:r w:rsidRPr="003779C6">
        <w:rPr>
          <w:rFonts w:ascii="Times New Roman" w:hAnsi="Times New Roman"/>
          <w:sz w:val="24"/>
          <w:szCs w:val="24"/>
        </w:rPr>
        <w:t>ndo um desafio significativo para os sistemas de saúde e seus profissionais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(1)</w:t>
      </w:r>
      <w:r w:rsidRPr="003779C6">
        <w:rPr>
          <w:rFonts w:ascii="Times New Roman" w:hAnsi="Times New Roman"/>
          <w:sz w:val="24"/>
          <w:szCs w:val="24"/>
        </w:rPr>
        <w:t xml:space="preserve">. Atualmente, é definida como uma síndrome clínica que </w:t>
      </w:r>
      <w:r w:rsidR="005465CE" w:rsidRPr="003779C6">
        <w:rPr>
          <w:rFonts w:ascii="Times New Roman" w:hAnsi="Times New Roman"/>
          <w:sz w:val="24"/>
          <w:szCs w:val="24"/>
        </w:rPr>
        <w:t>resulta em</w:t>
      </w:r>
      <w:r w:rsidRPr="003779C6">
        <w:rPr>
          <w:rFonts w:ascii="Times New Roman" w:hAnsi="Times New Roman"/>
          <w:sz w:val="24"/>
          <w:szCs w:val="24"/>
        </w:rPr>
        <w:t xml:space="preserve"> disfunção orgânica com risco de vida, </w:t>
      </w:r>
      <w:r w:rsidR="005465CE" w:rsidRPr="003779C6">
        <w:rPr>
          <w:rFonts w:ascii="Times New Roman" w:hAnsi="Times New Roman"/>
          <w:sz w:val="24"/>
          <w:szCs w:val="24"/>
        </w:rPr>
        <w:t>provocada por</w:t>
      </w:r>
      <w:r w:rsidRPr="003779C6">
        <w:rPr>
          <w:rFonts w:ascii="Times New Roman" w:hAnsi="Times New Roman"/>
          <w:sz w:val="24"/>
          <w:szCs w:val="24"/>
        </w:rPr>
        <w:t xml:space="preserve"> uma resposta desregulada do organismo a uma infecção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,</w:t>
      </w:r>
      <w:r w:rsidRPr="003779C6">
        <w:rPr>
          <w:rFonts w:ascii="Times New Roman" w:hAnsi="Times New Roman"/>
          <w:sz w:val="24"/>
          <w:szCs w:val="24"/>
          <w:vertAlign w:val="superscript"/>
        </w:rPr>
        <w:t>2)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876710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No </w:t>
      </w:r>
      <w:r w:rsidR="005465CE" w:rsidRPr="003779C6">
        <w:rPr>
          <w:rFonts w:ascii="Times New Roman" w:hAnsi="Times New Roman"/>
          <w:sz w:val="24"/>
          <w:szCs w:val="24"/>
        </w:rPr>
        <w:t>panorama</w:t>
      </w:r>
      <w:r w:rsidRPr="003779C6">
        <w:rPr>
          <w:rFonts w:ascii="Times New Roman" w:hAnsi="Times New Roman"/>
          <w:sz w:val="24"/>
          <w:szCs w:val="24"/>
        </w:rPr>
        <w:t xml:space="preserve"> mundial, entre 47 e 50 milhões de pessoas são a</w:t>
      </w:r>
      <w:r w:rsidR="005465CE" w:rsidRPr="003779C6">
        <w:rPr>
          <w:rFonts w:ascii="Times New Roman" w:hAnsi="Times New Roman"/>
          <w:sz w:val="24"/>
          <w:szCs w:val="24"/>
        </w:rPr>
        <w:t>feta</w:t>
      </w:r>
      <w:r w:rsidRPr="003779C6">
        <w:rPr>
          <w:rFonts w:ascii="Times New Roman" w:hAnsi="Times New Roman"/>
          <w:sz w:val="24"/>
          <w:szCs w:val="24"/>
        </w:rPr>
        <w:t xml:space="preserve">das anualmente por essa síndrome, que apresenta </w:t>
      </w:r>
      <w:r w:rsidR="005465CE" w:rsidRPr="003779C6">
        <w:rPr>
          <w:rFonts w:ascii="Times New Roman" w:hAnsi="Times New Roman"/>
          <w:sz w:val="24"/>
          <w:szCs w:val="24"/>
        </w:rPr>
        <w:t>elevad</w:t>
      </w:r>
      <w:r w:rsidRPr="003779C6">
        <w:rPr>
          <w:rFonts w:ascii="Times New Roman" w:hAnsi="Times New Roman"/>
          <w:sz w:val="24"/>
          <w:szCs w:val="24"/>
        </w:rPr>
        <w:t xml:space="preserve">a letalidade. A mortalidade atinge cerca de 11 milhões de pessoas por ano, correspondendo a 19,7% dos casos de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  <w:vertAlign w:val="superscript"/>
        </w:rPr>
        <w:t>(3)</w:t>
      </w:r>
      <w:r w:rsidRPr="003779C6">
        <w:rPr>
          <w:rFonts w:ascii="Times New Roman" w:hAnsi="Times New Roman"/>
          <w:sz w:val="24"/>
          <w:szCs w:val="24"/>
        </w:rPr>
        <w:t xml:space="preserve">. Em países em desenvolvimento, onde os recursos não </w:t>
      </w:r>
      <w:r w:rsidR="005465CE" w:rsidRPr="003779C6">
        <w:rPr>
          <w:rFonts w:ascii="Times New Roman" w:hAnsi="Times New Roman"/>
          <w:sz w:val="24"/>
          <w:szCs w:val="24"/>
        </w:rPr>
        <w:t>viabiliza</w:t>
      </w:r>
      <w:r w:rsidRPr="003779C6">
        <w:rPr>
          <w:rFonts w:ascii="Times New Roman" w:hAnsi="Times New Roman"/>
          <w:sz w:val="24"/>
          <w:szCs w:val="24"/>
        </w:rPr>
        <w:t>m a detecção precoce, essa letalidade pode dobrar, variando entre 40</w:t>
      </w:r>
      <w:r w:rsidR="003779C6" w:rsidRPr="003779C6">
        <w:rPr>
          <w:rFonts w:ascii="Times New Roman" w:hAnsi="Times New Roman"/>
          <w:sz w:val="24"/>
          <w:szCs w:val="24"/>
        </w:rPr>
        <w:t>–</w:t>
      </w:r>
      <w:r w:rsidRPr="003779C6">
        <w:rPr>
          <w:rFonts w:ascii="Times New Roman" w:hAnsi="Times New Roman"/>
          <w:sz w:val="24"/>
          <w:szCs w:val="24"/>
        </w:rPr>
        <w:t>50% dos casos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(4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,</w:t>
      </w:r>
      <w:r w:rsidRPr="003779C6">
        <w:rPr>
          <w:rFonts w:ascii="Times New Roman" w:hAnsi="Times New Roman"/>
          <w:sz w:val="24"/>
          <w:szCs w:val="24"/>
          <w:vertAlign w:val="superscript"/>
        </w:rPr>
        <w:t>5)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876710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Apesar </w:t>
      </w:r>
      <w:r w:rsidR="005465CE" w:rsidRPr="003779C6">
        <w:rPr>
          <w:rFonts w:ascii="Times New Roman" w:hAnsi="Times New Roman"/>
          <w:sz w:val="24"/>
          <w:szCs w:val="24"/>
        </w:rPr>
        <w:t>da</w:t>
      </w:r>
      <w:r w:rsidR="009F04E7" w:rsidRPr="003779C6">
        <w:rPr>
          <w:rFonts w:ascii="Times New Roman" w:hAnsi="Times New Roman"/>
          <w:sz w:val="24"/>
          <w:szCs w:val="24"/>
        </w:rPr>
        <w:t xml:space="preserve"> alta letalidade, a </w:t>
      </w:r>
      <w:proofErr w:type="spellStart"/>
      <w:r w:rsidR="009F04E7"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="009F04E7" w:rsidRPr="003779C6">
        <w:rPr>
          <w:rFonts w:ascii="Times New Roman" w:hAnsi="Times New Roman"/>
          <w:sz w:val="24"/>
          <w:szCs w:val="24"/>
        </w:rPr>
        <w:t xml:space="preserve"> é uma síndrome clínica tratável, e a implementação oportuna de intervenções direcionadas pode melhorar significativamente os desfechos. Des</w:t>
      </w:r>
      <w:r w:rsidR="005465CE" w:rsidRPr="003779C6">
        <w:rPr>
          <w:rFonts w:ascii="Times New Roman" w:hAnsi="Times New Roman"/>
          <w:sz w:val="24"/>
          <w:szCs w:val="24"/>
        </w:rPr>
        <w:t>sa forma</w:t>
      </w:r>
      <w:r w:rsidR="009F04E7" w:rsidRPr="003779C6">
        <w:rPr>
          <w:rFonts w:ascii="Times New Roman" w:hAnsi="Times New Roman"/>
          <w:sz w:val="24"/>
          <w:szCs w:val="24"/>
        </w:rPr>
        <w:t xml:space="preserve">, a literatura recomenda o estabelecimento de programas voltados para a prevenção, o diagnóstico precoce e o tratamento adequado da </w:t>
      </w:r>
      <w:proofErr w:type="spellStart"/>
      <w:r w:rsidR="009F04E7"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="009F04E7" w:rsidRPr="003779C6">
        <w:rPr>
          <w:rFonts w:ascii="Times New Roman" w:hAnsi="Times New Roman"/>
          <w:sz w:val="24"/>
          <w:szCs w:val="24"/>
          <w:vertAlign w:val="superscript"/>
        </w:rPr>
        <w:t>(3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,</w:t>
      </w:r>
      <w:r w:rsidR="009F04E7" w:rsidRPr="003779C6">
        <w:rPr>
          <w:rFonts w:ascii="Times New Roman" w:hAnsi="Times New Roman"/>
          <w:sz w:val="24"/>
          <w:szCs w:val="24"/>
          <w:vertAlign w:val="superscript"/>
        </w:rPr>
        <w:t>4)</w:t>
      </w:r>
      <w:r w:rsidR="009F04E7"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Inúmeras variáveis podem estar associadas à elevada mortalidade por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, incluindo o despreparo dos profissionais de saúde para identificar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de </w:t>
      </w:r>
      <w:r w:rsidR="005465CE" w:rsidRPr="003779C6">
        <w:rPr>
          <w:rFonts w:ascii="Times New Roman" w:hAnsi="Times New Roman"/>
          <w:sz w:val="24"/>
          <w:szCs w:val="24"/>
        </w:rPr>
        <w:t>maneir</w:t>
      </w:r>
      <w:r w:rsidRPr="003779C6">
        <w:rPr>
          <w:rFonts w:ascii="Times New Roman" w:hAnsi="Times New Roman"/>
          <w:sz w:val="24"/>
          <w:szCs w:val="24"/>
        </w:rPr>
        <w:t>a rápida e precisa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casos de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ou choque séptico, o que </w:t>
      </w:r>
      <w:r w:rsidR="005465CE" w:rsidRPr="003779C6">
        <w:rPr>
          <w:rFonts w:ascii="Times New Roman" w:hAnsi="Times New Roman"/>
          <w:sz w:val="24"/>
          <w:szCs w:val="24"/>
        </w:rPr>
        <w:t>ocasion</w:t>
      </w:r>
      <w:r w:rsidRPr="003779C6">
        <w:rPr>
          <w:rFonts w:ascii="Times New Roman" w:hAnsi="Times New Roman"/>
          <w:sz w:val="24"/>
          <w:szCs w:val="24"/>
        </w:rPr>
        <w:t xml:space="preserve">a atrasos no início do tratamento e </w:t>
      </w:r>
      <w:r w:rsidR="005465CE" w:rsidRPr="003779C6">
        <w:rPr>
          <w:rFonts w:ascii="Times New Roman" w:hAnsi="Times New Roman"/>
          <w:sz w:val="24"/>
          <w:szCs w:val="24"/>
        </w:rPr>
        <w:t xml:space="preserve">torna </w:t>
      </w:r>
      <w:r w:rsidRPr="003779C6">
        <w:rPr>
          <w:rFonts w:ascii="Times New Roman" w:hAnsi="Times New Roman"/>
          <w:sz w:val="24"/>
          <w:szCs w:val="24"/>
        </w:rPr>
        <w:t xml:space="preserve">a </w:t>
      </w:r>
      <w:r w:rsidR="005465CE" w:rsidRPr="003779C6">
        <w:rPr>
          <w:rFonts w:ascii="Times New Roman" w:hAnsi="Times New Roman"/>
          <w:sz w:val="24"/>
          <w:szCs w:val="24"/>
        </w:rPr>
        <w:t xml:space="preserve">situação </w:t>
      </w:r>
      <w:r w:rsidRPr="003779C6">
        <w:rPr>
          <w:rFonts w:ascii="Times New Roman" w:hAnsi="Times New Roman"/>
          <w:sz w:val="24"/>
          <w:szCs w:val="24"/>
        </w:rPr>
        <w:t>irrevers</w:t>
      </w:r>
      <w:r w:rsidR="00876710" w:rsidRPr="003779C6">
        <w:rPr>
          <w:rFonts w:ascii="Times New Roman" w:hAnsi="Times New Roman"/>
          <w:sz w:val="24"/>
          <w:szCs w:val="24"/>
        </w:rPr>
        <w:t>ível</w:t>
      </w:r>
      <w:r w:rsidRPr="003779C6">
        <w:rPr>
          <w:rFonts w:ascii="Times New Roman" w:hAnsi="Times New Roman"/>
          <w:sz w:val="24"/>
          <w:szCs w:val="24"/>
          <w:vertAlign w:val="superscript"/>
        </w:rPr>
        <w:t>(6)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Nesse contexto, estudos nacionais e internacionais têm revelado uma lacuna </w:t>
      </w:r>
      <w:r w:rsidRPr="003779C6">
        <w:rPr>
          <w:rFonts w:ascii="Times New Roman" w:hAnsi="Times New Roman"/>
          <w:sz w:val="24"/>
          <w:szCs w:val="24"/>
        </w:rPr>
        <w:lastRenderedPageBreak/>
        <w:t xml:space="preserve">de conhecimento </w:t>
      </w:r>
      <w:r w:rsidR="005465CE" w:rsidRPr="003779C6">
        <w:rPr>
          <w:rFonts w:ascii="Times New Roman" w:hAnsi="Times New Roman"/>
          <w:sz w:val="24"/>
          <w:szCs w:val="24"/>
        </w:rPr>
        <w:t>quanto à</w:t>
      </w:r>
      <w:r w:rsidRPr="003779C6">
        <w:rPr>
          <w:rFonts w:ascii="Times New Roman" w:hAnsi="Times New Roman"/>
          <w:sz w:val="24"/>
          <w:szCs w:val="24"/>
        </w:rPr>
        <w:t xml:space="preserve"> identificação, </w:t>
      </w:r>
      <w:r w:rsidR="005465CE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o desenvolvimento e </w:t>
      </w:r>
      <w:r w:rsidR="005465CE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entre estudantes de enfermagem e enfermeiros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(6-9)</w:t>
      </w:r>
      <w:r w:rsidRPr="003779C6">
        <w:rPr>
          <w:rFonts w:ascii="Times New Roman" w:hAnsi="Times New Roman"/>
          <w:sz w:val="24"/>
          <w:szCs w:val="24"/>
        </w:rPr>
        <w:t>.</w:t>
      </w:r>
      <w:r w:rsidR="003779C6" w:rsidRPr="003779C6">
        <w:rPr>
          <w:rFonts w:ascii="Times New Roman" w:hAnsi="Times New Roman"/>
          <w:sz w:val="24"/>
          <w:szCs w:val="24"/>
        </w:rPr>
        <w:t xml:space="preserve"> </w:t>
      </w:r>
      <w:r w:rsidRPr="003779C6">
        <w:rPr>
          <w:rFonts w:ascii="Times New Roman" w:hAnsi="Times New Roman"/>
          <w:sz w:val="24"/>
          <w:szCs w:val="24"/>
        </w:rPr>
        <w:t xml:space="preserve">A literatura destaca </w:t>
      </w:r>
      <w:r w:rsidR="005465CE" w:rsidRPr="003779C6">
        <w:rPr>
          <w:rFonts w:ascii="Times New Roman" w:hAnsi="Times New Roman"/>
          <w:sz w:val="24"/>
          <w:szCs w:val="24"/>
        </w:rPr>
        <w:t>que,</w:t>
      </w:r>
      <w:r w:rsidRPr="003779C6">
        <w:rPr>
          <w:rFonts w:ascii="Times New Roman" w:hAnsi="Times New Roman"/>
          <w:sz w:val="24"/>
          <w:szCs w:val="24"/>
        </w:rPr>
        <w:t xml:space="preserve"> para a formação dos profissionais de saúde na abordagem clínica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="005465CE" w:rsidRPr="003779C6">
        <w:rPr>
          <w:rFonts w:ascii="Times New Roman" w:hAnsi="Times New Roman"/>
          <w:sz w:val="24"/>
          <w:szCs w:val="24"/>
        </w:rPr>
        <w:t>, são fundamentais</w:t>
      </w:r>
      <w:r w:rsidRPr="003779C6">
        <w:rPr>
          <w:rFonts w:ascii="Times New Roman" w:hAnsi="Times New Roman"/>
          <w:sz w:val="24"/>
          <w:szCs w:val="24"/>
        </w:rPr>
        <w:t xml:space="preserve"> a detecção precoce, a gestão </w:t>
      </w:r>
      <w:r w:rsidR="005465CE" w:rsidRPr="003779C6">
        <w:rPr>
          <w:rFonts w:ascii="Times New Roman" w:hAnsi="Times New Roman"/>
          <w:sz w:val="24"/>
          <w:szCs w:val="24"/>
        </w:rPr>
        <w:t>por meio</w:t>
      </w:r>
      <w:r w:rsidRPr="003779C6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3779C6">
        <w:rPr>
          <w:rFonts w:ascii="Times New Roman" w:hAnsi="Times New Roman"/>
          <w:sz w:val="24"/>
          <w:szCs w:val="24"/>
        </w:rPr>
        <w:t>ressuscitação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volêmica e a administração oportuna de </w:t>
      </w:r>
      <w:proofErr w:type="spellStart"/>
      <w:r w:rsidRPr="003779C6">
        <w:rPr>
          <w:rFonts w:ascii="Times New Roman" w:hAnsi="Times New Roman"/>
          <w:sz w:val="24"/>
          <w:szCs w:val="24"/>
        </w:rPr>
        <w:t>antibioticoterapia</w:t>
      </w:r>
      <w:proofErr w:type="spellEnd"/>
      <w:r w:rsidRPr="003779C6">
        <w:rPr>
          <w:rFonts w:ascii="Times New Roman" w:hAnsi="Times New Roman"/>
          <w:sz w:val="24"/>
          <w:szCs w:val="24"/>
        </w:rPr>
        <w:t>, visando à redução da mortalidade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(10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,</w:t>
      </w:r>
      <w:r w:rsidRPr="003779C6">
        <w:rPr>
          <w:rFonts w:ascii="Times New Roman" w:hAnsi="Times New Roman"/>
          <w:sz w:val="24"/>
          <w:szCs w:val="24"/>
          <w:vertAlign w:val="superscript"/>
        </w:rPr>
        <w:t>11)</w:t>
      </w:r>
      <w:r w:rsidRPr="003779C6">
        <w:rPr>
          <w:rFonts w:ascii="Times New Roman" w:hAnsi="Times New Roman"/>
          <w:sz w:val="24"/>
          <w:szCs w:val="24"/>
        </w:rPr>
        <w:t>. Nesse sentido, métodos ativos de ensino podem desempenhar papel crucial na capacitação da e</w:t>
      </w:r>
      <w:r w:rsidR="005465CE" w:rsidRPr="003779C6">
        <w:rPr>
          <w:rFonts w:ascii="Times New Roman" w:hAnsi="Times New Roman"/>
          <w:sz w:val="24"/>
          <w:szCs w:val="24"/>
        </w:rPr>
        <w:t>quipe de e</w:t>
      </w:r>
      <w:r w:rsidRPr="003779C6">
        <w:rPr>
          <w:rFonts w:ascii="Times New Roman" w:hAnsi="Times New Roman"/>
          <w:sz w:val="24"/>
          <w:szCs w:val="24"/>
        </w:rPr>
        <w:t xml:space="preserve">nfermagem para a identificação das distintas fases de evolução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, o que, conse</w:t>
      </w:r>
      <w:r w:rsidR="005465CE" w:rsidRPr="003779C6">
        <w:rPr>
          <w:rFonts w:ascii="Times New Roman" w:hAnsi="Times New Roman"/>
          <w:sz w:val="24"/>
          <w:szCs w:val="24"/>
        </w:rPr>
        <w:t>quenteme</w:t>
      </w:r>
      <w:r w:rsidRPr="003779C6">
        <w:rPr>
          <w:rFonts w:ascii="Times New Roman" w:hAnsi="Times New Roman"/>
          <w:sz w:val="24"/>
          <w:szCs w:val="24"/>
        </w:rPr>
        <w:t>nte, pode resultar em melhorias significativas no prognóstico dos pacientes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(9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-</w:t>
      </w:r>
      <w:r w:rsidRPr="003779C6">
        <w:rPr>
          <w:rFonts w:ascii="Times New Roman" w:hAnsi="Times New Roman"/>
          <w:sz w:val="24"/>
          <w:szCs w:val="24"/>
          <w:vertAlign w:val="superscript"/>
        </w:rPr>
        <w:t>12)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No contexto das metodologias ativas, a simulação clínica r</w:t>
      </w:r>
      <w:r w:rsidR="005465CE" w:rsidRPr="003779C6">
        <w:rPr>
          <w:rFonts w:ascii="Times New Roman" w:hAnsi="Times New Roman"/>
          <w:sz w:val="24"/>
          <w:szCs w:val="24"/>
        </w:rPr>
        <w:t>evel</w:t>
      </w:r>
      <w:r w:rsidRPr="003779C6">
        <w:rPr>
          <w:rFonts w:ascii="Times New Roman" w:hAnsi="Times New Roman"/>
          <w:sz w:val="24"/>
          <w:szCs w:val="24"/>
        </w:rPr>
        <w:t xml:space="preserve">a-se adequada por proporcionar um ambiente seguro e controlado para que os estudantes </w:t>
      </w:r>
      <w:r w:rsidR="005465CE" w:rsidRPr="003779C6">
        <w:rPr>
          <w:rFonts w:ascii="Times New Roman" w:hAnsi="Times New Roman"/>
          <w:sz w:val="24"/>
          <w:szCs w:val="24"/>
        </w:rPr>
        <w:t>desenvolv</w:t>
      </w:r>
      <w:r w:rsidRPr="003779C6">
        <w:rPr>
          <w:rFonts w:ascii="Times New Roman" w:hAnsi="Times New Roman"/>
          <w:sz w:val="24"/>
          <w:szCs w:val="24"/>
        </w:rPr>
        <w:t xml:space="preserve">am habilidades </w:t>
      </w:r>
      <w:r w:rsidR="005465CE" w:rsidRPr="003779C6">
        <w:rPr>
          <w:rFonts w:ascii="Times New Roman" w:hAnsi="Times New Roman"/>
          <w:sz w:val="24"/>
          <w:szCs w:val="24"/>
        </w:rPr>
        <w:t xml:space="preserve">necessárias </w:t>
      </w:r>
      <w:r w:rsidRPr="003779C6">
        <w:rPr>
          <w:rFonts w:ascii="Times New Roman" w:hAnsi="Times New Roman"/>
          <w:sz w:val="24"/>
          <w:szCs w:val="24"/>
        </w:rPr>
        <w:t>para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no futuro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cuidar de pacientes reais com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  <w:vertAlign w:val="superscript"/>
        </w:rPr>
        <w:t>(9,12</w:t>
      </w:r>
      <w:r w:rsidR="00D1415A" w:rsidRPr="003779C6">
        <w:rPr>
          <w:rFonts w:ascii="Times New Roman" w:hAnsi="Times New Roman"/>
          <w:sz w:val="24"/>
          <w:szCs w:val="24"/>
          <w:vertAlign w:val="superscript"/>
        </w:rPr>
        <w:t>,</w:t>
      </w:r>
      <w:r w:rsidRPr="003779C6">
        <w:rPr>
          <w:rFonts w:ascii="Times New Roman" w:hAnsi="Times New Roman"/>
          <w:sz w:val="24"/>
          <w:szCs w:val="24"/>
          <w:vertAlign w:val="superscript"/>
        </w:rPr>
        <w:t>13)</w:t>
      </w:r>
      <w:r w:rsidRPr="003779C6">
        <w:rPr>
          <w:rFonts w:ascii="Times New Roman" w:hAnsi="Times New Roman"/>
          <w:sz w:val="24"/>
          <w:szCs w:val="24"/>
        </w:rPr>
        <w:t>.</w:t>
      </w:r>
      <w:r w:rsidR="003779C6" w:rsidRPr="003779C6">
        <w:rPr>
          <w:rFonts w:ascii="Times New Roman" w:hAnsi="Times New Roman"/>
          <w:sz w:val="24"/>
          <w:szCs w:val="24"/>
        </w:rPr>
        <w:t xml:space="preserve"> </w:t>
      </w:r>
      <w:r w:rsidRPr="003779C6">
        <w:rPr>
          <w:rFonts w:ascii="Times New Roman" w:hAnsi="Times New Roman"/>
          <w:sz w:val="24"/>
          <w:szCs w:val="24"/>
        </w:rPr>
        <w:t>A estrutura pedagógica da simulação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ou design da simulação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é planejad</w:t>
      </w:r>
      <w:r w:rsidR="005465CE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 em três etapas: </w:t>
      </w:r>
      <w:proofErr w:type="spellStart"/>
      <w:r w:rsidRPr="003779C6">
        <w:rPr>
          <w:rFonts w:ascii="Times New Roman" w:hAnsi="Times New Roman"/>
          <w:sz w:val="24"/>
          <w:szCs w:val="24"/>
        </w:rPr>
        <w:t>pré-</w:t>
      </w:r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>/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intrassimulação e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  <w:vertAlign w:val="superscript"/>
        </w:rPr>
        <w:t>(14-17)</w:t>
      </w:r>
      <w:r w:rsidRPr="003779C6">
        <w:rPr>
          <w:rFonts w:ascii="Times New Roman" w:hAnsi="Times New Roman"/>
          <w:sz w:val="24"/>
          <w:szCs w:val="24"/>
        </w:rPr>
        <w:t>.</w:t>
      </w:r>
      <w:r w:rsidR="003779C6" w:rsidRPr="003779C6">
        <w:rPr>
          <w:rFonts w:ascii="Times New Roman" w:hAnsi="Times New Roman"/>
          <w:sz w:val="24"/>
          <w:szCs w:val="24"/>
        </w:rPr>
        <w:t xml:space="preserve"> </w:t>
      </w:r>
      <w:r w:rsidRPr="003779C6">
        <w:rPr>
          <w:rFonts w:ascii="Times New Roman" w:hAnsi="Times New Roman"/>
          <w:sz w:val="24"/>
          <w:szCs w:val="24"/>
        </w:rPr>
        <w:t xml:space="preserve">No </w:t>
      </w:r>
      <w:proofErr w:type="spellStart"/>
      <w:r w:rsidRPr="003779C6">
        <w:rPr>
          <w:rFonts w:ascii="Times New Roman" w:hAnsi="Times New Roman"/>
          <w:sz w:val="24"/>
          <w:szCs w:val="24"/>
        </w:rPr>
        <w:t>pré-</w:t>
      </w:r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>/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os participantes são orientados </w:t>
      </w:r>
      <w:r w:rsidR="005465CE" w:rsidRPr="003779C6">
        <w:rPr>
          <w:rFonts w:ascii="Times New Roman" w:hAnsi="Times New Roman"/>
          <w:sz w:val="24"/>
          <w:szCs w:val="24"/>
        </w:rPr>
        <w:t>quanto a</w:t>
      </w:r>
      <w:r w:rsidRPr="003779C6">
        <w:rPr>
          <w:rFonts w:ascii="Times New Roman" w:hAnsi="Times New Roman"/>
          <w:sz w:val="24"/>
          <w:szCs w:val="24"/>
        </w:rPr>
        <w:t xml:space="preserve">o ambiente, </w:t>
      </w:r>
      <w:r w:rsidR="005465CE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os equipamentos e </w:t>
      </w:r>
      <w:r w:rsidR="005465CE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os simuladores, além dos objetivos de aprendizagem, regras e limitações do caso a ser solucionado. O </w:t>
      </w:r>
      <w:proofErr w:type="spellStart"/>
      <w:r w:rsidRPr="003779C6">
        <w:rPr>
          <w:rFonts w:ascii="Times New Roman" w:hAnsi="Times New Roman"/>
          <w:sz w:val="24"/>
          <w:szCs w:val="24"/>
        </w:rPr>
        <w:t>pré-</w:t>
      </w:r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prepara os alunos mentalmente para a experiência, enquanto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esclarece as regras fundamentais da simulação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(17)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A etapa de intrassimulação envolve a execução do cenário proposto, utilizando recursos de diferentes graus de realismo, que podem incluir atores, manequins ou simuladores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(14-16)</w:t>
      </w:r>
      <w:r w:rsidRPr="003779C6">
        <w:rPr>
          <w:rFonts w:ascii="Times New Roman" w:hAnsi="Times New Roman"/>
          <w:sz w:val="24"/>
          <w:szCs w:val="24"/>
        </w:rPr>
        <w:t xml:space="preserve">. Já na etapa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os participantes refletem sobre suas experiências e discutem a aplicação teórica e prática da simulação, promovendo o pensamento crítico, o </w:t>
      </w:r>
      <w:r w:rsidRPr="003779C6">
        <w:rPr>
          <w:rFonts w:ascii="Times New Roman" w:hAnsi="Times New Roman"/>
          <w:i/>
          <w:iCs/>
          <w:sz w:val="24"/>
          <w:szCs w:val="24"/>
        </w:rPr>
        <w:t>feedback</w:t>
      </w:r>
      <w:r w:rsidRPr="003779C6">
        <w:rPr>
          <w:rFonts w:ascii="Times New Roman" w:hAnsi="Times New Roman"/>
          <w:sz w:val="24"/>
          <w:szCs w:val="24"/>
        </w:rPr>
        <w:t xml:space="preserve"> construtivo e a consolidação do aprendizado, </w:t>
      </w:r>
      <w:r w:rsidR="005465CE" w:rsidRPr="003779C6">
        <w:rPr>
          <w:rFonts w:ascii="Times New Roman" w:hAnsi="Times New Roman"/>
          <w:sz w:val="24"/>
          <w:szCs w:val="24"/>
        </w:rPr>
        <w:t xml:space="preserve">aspectos </w:t>
      </w:r>
      <w:r w:rsidRPr="003779C6">
        <w:rPr>
          <w:rFonts w:ascii="Times New Roman" w:hAnsi="Times New Roman"/>
          <w:sz w:val="24"/>
          <w:szCs w:val="24"/>
        </w:rPr>
        <w:t>fundamentais para o desenvolvimento de habilidades clínicas e a tomada de decisão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(14-16)</w:t>
      </w:r>
      <w:r w:rsidRPr="003779C6">
        <w:rPr>
          <w:rFonts w:ascii="Times New Roman" w:hAnsi="Times New Roman"/>
          <w:sz w:val="24"/>
          <w:szCs w:val="24"/>
        </w:rPr>
        <w:t xml:space="preserve">. 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A etapa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é essencial no aprendizado por simulação, pois promove a consolidação do conhecimento e o aprimoramento de habilidades a ser</w:t>
      </w:r>
      <w:r w:rsidR="005465CE" w:rsidRPr="003779C6">
        <w:rPr>
          <w:rFonts w:ascii="Times New Roman" w:hAnsi="Times New Roman"/>
          <w:sz w:val="24"/>
          <w:szCs w:val="24"/>
        </w:rPr>
        <w:t>em</w:t>
      </w:r>
      <w:r w:rsidRPr="003779C6">
        <w:rPr>
          <w:rFonts w:ascii="Times New Roman" w:hAnsi="Times New Roman"/>
          <w:sz w:val="24"/>
          <w:szCs w:val="24"/>
        </w:rPr>
        <w:t xml:space="preserve"> desenvolvidas. Essa última etapa, portanto, envolve um processo de </w:t>
      </w:r>
      <w:proofErr w:type="spellStart"/>
      <w:r w:rsidRPr="003779C6">
        <w:rPr>
          <w:rFonts w:ascii="Times New Roman" w:hAnsi="Times New Roman"/>
          <w:sz w:val="24"/>
          <w:szCs w:val="24"/>
        </w:rPr>
        <w:t>ressignificação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cognitiva, ou seja, a capacidade de enxergar uma situação sob uma nova perspectiva, o que leva ao desenvolvimento e aprimoramento das competências clínicas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(16).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Ness</w:t>
      </w:r>
      <w:r w:rsidR="00876710" w:rsidRPr="003779C6">
        <w:rPr>
          <w:rFonts w:ascii="Times New Roman" w:hAnsi="Times New Roman"/>
          <w:sz w:val="24"/>
          <w:szCs w:val="24"/>
        </w:rPr>
        <w:t xml:space="preserve">e </w:t>
      </w:r>
      <w:r w:rsidR="005465CE" w:rsidRPr="003779C6">
        <w:rPr>
          <w:rFonts w:ascii="Times New Roman" w:hAnsi="Times New Roman"/>
          <w:sz w:val="24"/>
          <w:szCs w:val="24"/>
        </w:rPr>
        <w:t>sentido, um</w:t>
      </w:r>
      <w:r w:rsidRPr="003779C6">
        <w:rPr>
          <w:rFonts w:ascii="Times New Roman" w:hAnsi="Times New Roman"/>
          <w:sz w:val="24"/>
          <w:szCs w:val="24"/>
        </w:rPr>
        <w:t xml:space="preserve"> estudo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(18)</w:t>
      </w:r>
      <w:r w:rsidRPr="003779C6">
        <w:rPr>
          <w:rFonts w:ascii="Times New Roman" w:hAnsi="Times New Roman"/>
          <w:sz w:val="24"/>
          <w:szCs w:val="24"/>
        </w:rPr>
        <w:t xml:space="preserve"> avaliou o desempenho clínico de 120 estudantes de enfermagem em cenários de aprendizagem com e sem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. Os resultados demonstraram que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foi altamente eficaz (p &lt; 0,001) para melhorar o desempenho dos alunos nos exames clínicos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(18)</w:t>
      </w:r>
      <w:r w:rsidRPr="003779C6">
        <w:rPr>
          <w:rFonts w:ascii="Times New Roman" w:hAnsi="Times New Roman"/>
          <w:sz w:val="24"/>
          <w:szCs w:val="24"/>
        </w:rPr>
        <w:t>. Complementa</w:t>
      </w:r>
      <w:r w:rsidR="005465CE" w:rsidRPr="003779C6">
        <w:rPr>
          <w:rFonts w:ascii="Times New Roman" w:hAnsi="Times New Roman"/>
          <w:sz w:val="24"/>
          <w:szCs w:val="24"/>
        </w:rPr>
        <w:t>rmente</w:t>
      </w:r>
      <w:r w:rsidRPr="003779C6">
        <w:rPr>
          <w:rFonts w:ascii="Times New Roman" w:hAnsi="Times New Roman"/>
          <w:sz w:val="24"/>
          <w:szCs w:val="24"/>
        </w:rPr>
        <w:t xml:space="preserve">, outra investigação </w:t>
      </w:r>
      <w:r w:rsidR="005465CE" w:rsidRPr="003779C6">
        <w:rPr>
          <w:rFonts w:ascii="Times New Roman" w:hAnsi="Times New Roman"/>
          <w:sz w:val="24"/>
          <w:szCs w:val="24"/>
        </w:rPr>
        <w:t>evidenciou</w:t>
      </w:r>
      <w:r w:rsidRPr="003779C6">
        <w:rPr>
          <w:rFonts w:ascii="Times New Roman" w:hAnsi="Times New Roman"/>
          <w:sz w:val="24"/>
          <w:szCs w:val="24"/>
        </w:rPr>
        <w:t xml:space="preserve"> o impacto positivo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no aprimoramento das competências, no desenvolvimento da autoconfiança e no fortalecimento do trabalho em equipe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(19)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Embora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seja fundamental para criar um ambiente de aprendiza</w:t>
      </w:r>
      <w:r w:rsidR="005465CE" w:rsidRPr="003779C6">
        <w:rPr>
          <w:rFonts w:ascii="Times New Roman" w:hAnsi="Times New Roman"/>
          <w:sz w:val="24"/>
          <w:szCs w:val="24"/>
        </w:rPr>
        <w:t>gem</w:t>
      </w:r>
      <w:r w:rsidRPr="003779C6">
        <w:rPr>
          <w:rFonts w:ascii="Times New Roman" w:hAnsi="Times New Roman"/>
          <w:sz w:val="24"/>
          <w:szCs w:val="24"/>
        </w:rPr>
        <w:t xml:space="preserve"> seguro e potencializar o desenvolvimento de competências clínicas, ainda </w:t>
      </w:r>
      <w:r w:rsidR="005465CE" w:rsidRPr="003779C6">
        <w:rPr>
          <w:rFonts w:ascii="Times New Roman" w:hAnsi="Times New Roman"/>
          <w:sz w:val="24"/>
          <w:szCs w:val="24"/>
        </w:rPr>
        <w:t>existe</w:t>
      </w:r>
      <w:r w:rsidRPr="003779C6">
        <w:rPr>
          <w:rFonts w:ascii="Times New Roman" w:hAnsi="Times New Roman"/>
          <w:sz w:val="24"/>
          <w:szCs w:val="24"/>
        </w:rPr>
        <w:t xml:space="preserve"> uma lacuna na literatura sobre o impacto da sua incorporação nos resultados de aprendiza</w:t>
      </w:r>
      <w:r w:rsidR="005465CE" w:rsidRPr="003779C6">
        <w:rPr>
          <w:rFonts w:ascii="Times New Roman" w:hAnsi="Times New Roman"/>
          <w:sz w:val="24"/>
          <w:szCs w:val="24"/>
        </w:rPr>
        <w:t>gem</w:t>
      </w:r>
      <w:r w:rsidRPr="003779C6">
        <w:rPr>
          <w:rFonts w:ascii="Times New Roman" w:hAnsi="Times New Roman"/>
          <w:sz w:val="24"/>
          <w:szCs w:val="24"/>
        </w:rPr>
        <w:t xml:space="preserve"> em ambientes de simulação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(9,13,19)</w:t>
      </w:r>
      <w:r w:rsidRPr="003779C6">
        <w:rPr>
          <w:rFonts w:ascii="Times New Roman" w:hAnsi="Times New Roman"/>
          <w:sz w:val="24"/>
          <w:szCs w:val="24"/>
        </w:rPr>
        <w:t xml:space="preserve">. Estudos </w:t>
      </w:r>
      <w:r w:rsidR="005465CE" w:rsidRPr="003779C6">
        <w:rPr>
          <w:rFonts w:ascii="Times New Roman" w:hAnsi="Times New Roman"/>
          <w:sz w:val="24"/>
          <w:szCs w:val="24"/>
        </w:rPr>
        <w:t xml:space="preserve">mais </w:t>
      </w:r>
      <w:r w:rsidRPr="003779C6">
        <w:rPr>
          <w:rFonts w:ascii="Times New Roman" w:hAnsi="Times New Roman"/>
          <w:sz w:val="24"/>
          <w:szCs w:val="24"/>
        </w:rPr>
        <w:t xml:space="preserve">robustos são necessários para explorar essa vertente, especialmente no contexto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. </w:t>
      </w:r>
    </w:p>
    <w:p w:rsidR="00445EF6" w:rsidRDefault="009F04E7">
      <w:pPr>
        <w:shd w:val="clear" w:color="auto" w:fill="FFFFFF" w:themeFill="background1"/>
        <w:spacing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Dessa forma, considerando 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como importante problema de saúde pública e a avaliação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como potencial instrumento da simulação para desenvolver as competências clínicas re</w:t>
      </w:r>
      <w:r w:rsidR="005465CE" w:rsidRPr="003779C6">
        <w:rPr>
          <w:rFonts w:ascii="Times New Roman" w:hAnsi="Times New Roman"/>
          <w:sz w:val="24"/>
          <w:szCs w:val="24"/>
        </w:rPr>
        <w:t>lativa</w:t>
      </w:r>
      <w:r w:rsidRPr="003779C6">
        <w:rPr>
          <w:rFonts w:ascii="Times New Roman" w:hAnsi="Times New Roman"/>
          <w:sz w:val="24"/>
          <w:szCs w:val="24"/>
        </w:rPr>
        <w:t xml:space="preserve">s à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justifica-se a realização do </w:t>
      </w:r>
      <w:r w:rsidRPr="003779C6">
        <w:rPr>
          <w:rFonts w:ascii="Times New Roman" w:hAnsi="Times New Roman"/>
          <w:sz w:val="24"/>
          <w:szCs w:val="24"/>
        </w:rPr>
        <w:lastRenderedPageBreak/>
        <w:t>presente estudo</w:t>
      </w:r>
      <w:r w:rsidR="005465CE" w:rsidRPr="003779C6">
        <w:rPr>
          <w:rFonts w:ascii="Times New Roman" w:hAnsi="Times New Roman"/>
          <w:sz w:val="24"/>
          <w:szCs w:val="24"/>
        </w:rPr>
        <w:t>,</w:t>
      </w:r>
      <w:r w:rsidRPr="003779C6">
        <w:rPr>
          <w:rFonts w:ascii="Times New Roman" w:hAnsi="Times New Roman"/>
          <w:sz w:val="24"/>
          <w:szCs w:val="24"/>
        </w:rPr>
        <w:t xml:space="preserve"> que teve por objetivo </w:t>
      </w:r>
      <w:r w:rsidRPr="003779C6">
        <w:rPr>
          <w:rFonts w:ascii="Times New Roman" w:hAnsi="Times New Roman"/>
          <w:bCs/>
          <w:sz w:val="24"/>
          <w:szCs w:val="24"/>
        </w:rPr>
        <w:t xml:space="preserve">avaliar o impacto do </w:t>
      </w:r>
      <w:proofErr w:type="spellStart"/>
      <w:r w:rsidRPr="003779C6">
        <w:rPr>
          <w:rFonts w:ascii="Times New Roman" w:hAnsi="Times New Roman"/>
          <w:bCs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bCs/>
          <w:sz w:val="24"/>
          <w:szCs w:val="24"/>
        </w:rPr>
        <w:t xml:space="preserve"> associado ao cenário de simulação clínica no conhecimento e nas habilidades de estudantes de enfermagem no manejo do paciente com </w:t>
      </w:r>
      <w:proofErr w:type="spellStart"/>
      <w:r w:rsidRPr="003779C6">
        <w:rPr>
          <w:rFonts w:ascii="Times New Roman" w:hAnsi="Times New Roman"/>
          <w:bCs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bCs/>
          <w:sz w:val="24"/>
          <w:szCs w:val="24"/>
        </w:rPr>
        <w:t>.</w:t>
      </w:r>
    </w:p>
    <w:p w:rsidR="009F04E7" w:rsidRPr="003779C6" w:rsidRDefault="009F04E7" w:rsidP="009F04E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D7FFD" w:rsidRPr="003779C6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</w:t>
      </w:r>
      <w:r w:rsidR="00546DBF"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ÉTODO</w:t>
      </w:r>
    </w:p>
    <w:p w:rsidR="0084373C" w:rsidRPr="003779C6" w:rsidRDefault="0084373C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iCs/>
          <w:sz w:val="24"/>
          <w:szCs w:val="24"/>
        </w:rPr>
        <w:t xml:space="preserve">Trata-se de um estudo </w:t>
      </w:r>
      <w:proofErr w:type="spellStart"/>
      <w:r w:rsidRPr="003779C6">
        <w:rPr>
          <w:rFonts w:ascii="Times New Roman" w:hAnsi="Times New Roman"/>
          <w:iCs/>
          <w:sz w:val="24"/>
          <w:szCs w:val="24"/>
        </w:rPr>
        <w:t>quase-experimental</w:t>
      </w:r>
      <w:proofErr w:type="spellEnd"/>
      <w:r w:rsidRPr="003779C6">
        <w:rPr>
          <w:rFonts w:ascii="Times New Roman" w:hAnsi="Times New Roman"/>
          <w:iCs/>
          <w:sz w:val="24"/>
          <w:szCs w:val="24"/>
        </w:rPr>
        <w:t>, do tipo antes e depois, com de</w:t>
      </w:r>
      <w:r w:rsidR="00851CFD" w:rsidRPr="003779C6">
        <w:rPr>
          <w:rFonts w:ascii="Times New Roman" w:hAnsi="Times New Roman"/>
          <w:iCs/>
          <w:sz w:val="24"/>
          <w:szCs w:val="24"/>
        </w:rPr>
        <w:t>lineamento de</w:t>
      </w:r>
      <w:r w:rsidRPr="003779C6">
        <w:rPr>
          <w:rFonts w:ascii="Times New Roman" w:hAnsi="Times New Roman"/>
          <w:iCs/>
          <w:sz w:val="24"/>
          <w:szCs w:val="24"/>
        </w:rPr>
        <w:t xml:space="preserve"> série temporal interrompida com um grupo</w:t>
      </w:r>
      <w:r w:rsidRPr="003779C6">
        <w:rPr>
          <w:rFonts w:ascii="Times New Roman" w:hAnsi="Times New Roman"/>
          <w:iCs/>
          <w:sz w:val="24"/>
          <w:szCs w:val="24"/>
          <w:vertAlign w:val="superscript"/>
        </w:rPr>
        <w:t>(20)</w:t>
      </w:r>
      <w:r w:rsidRPr="003779C6">
        <w:rPr>
          <w:rFonts w:ascii="Times New Roman" w:hAnsi="Times New Roman"/>
          <w:iCs/>
          <w:sz w:val="24"/>
          <w:szCs w:val="24"/>
        </w:rPr>
        <w:t xml:space="preserve">. Os estudos </w:t>
      </w:r>
      <w:proofErr w:type="spellStart"/>
      <w:r w:rsidRPr="003779C6">
        <w:rPr>
          <w:rFonts w:ascii="Times New Roman" w:hAnsi="Times New Roman"/>
          <w:iCs/>
          <w:sz w:val="24"/>
          <w:szCs w:val="24"/>
        </w:rPr>
        <w:t>quase-experimentais</w:t>
      </w:r>
      <w:proofErr w:type="spellEnd"/>
      <w:r w:rsidRPr="003779C6">
        <w:rPr>
          <w:rFonts w:ascii="Times New Roman" w:hAnsi="Times New Roman"/>
          <w:iCs/>
          <w:sz w:val="24"/>
          <w:szCs w:val="24"/>
        </w:rPr>
        <w:t xml:space="preserve">, também conhecidos na literatura médica como testes controlados sem randomização, consistem em uma intervenção em um único grupo. </w:t>
      </w:r>
      <w:r w:rsidR="00851CFD" w:rsidRPr="003779C6">
        <w:rPr>
          <w:rFonts w:ascii="Times New Roman" w:hAnsi="Times New Roman"/>
          <w:sz w:val="24"/>
          <w:szCs w:val="24"/>
        </w:rPr>
        <w:t>Há</w:t>
      </w:r>
      <w:r w:rsidRPr="003779C6">
        <w:rPr>
          <w:rFonts w:ascii="Times New Roman" w:hAnsi="Times New Roman"/>
          <w:sz w:val="24"/>
          <w:szCs w:val="24"/>
        </w:rPr>
        <w:t xml:space="preserve"> diversos de</w:t>
      </w:r>
      <w:r w:rsidR="00851CFD" w:rsidRPr="003779C6">
        <w:rPr>
          <w:rFonts w:ascii="Times New Roman" w:hAnsi="Times New Roman"/>
          <w:sz w:val="24"/>
          <w:szCs w:val="24"/>
        </w:rPr>
        <w:t>lineament</w:t>
      </w:r>
      <w:r w:rsidRPr="003779C6">
        <w:rPr>
          <w:rFonts w:ascii="Times New Roman" w:hAnsi="Times New Roman"/>
          <w:sz w:val="24"/>
          <w:szCs w:val="24"/>
        </w:rPr>
        <w:t xml:space="preserve">os de estudos </w:t>
      </w:r>
      <w:proofErr w:type="spellStart"/>
      <w:r w:rsidRPr="003779C6">
        <w:rPr>
          <w:rFonts w:ascii="Times New Roman" w:hAnsi="Times New Roman"/>
          <w:sz w:val="24"/>
          <w:szCs w:val="24"/>
        </w:rPr>
        <w:t>quase-experimentais</w:t>
      </w:r>
      <w:proofErr w:type="spellEnd"/>
      <w:r w:rsidRPr="003779C6">
        <w:rPr>
          <w:rFonts w:ascii="Times New Roman" w:hAnsi="Times New Roman"/>
          <w:sz w:val="24"/>
          <w:szCs w:val="24"/>
        </w:rPr>
        <w:t>, incluindo o de série temporal interrompida com um único grupo, adotado neste estudo. Nesse de</w:t>
      </w:r>
      <w:r w:rsidR="00851CFD" w:rsidRPr="003779C6">
        <w:rPr>
          <w:rFonts w:ascii="Times New Roman" w:hAnsi="Times New Roman"/>
          <w:sz w:val="24"/>
          <w:szCs w:val="24"/>
        </w:rPr>
        <w:t>lineament</w:t>
      </w:r>
      <w:r w:rsidRPr="003779C6">
        <w:rPr>
          <w:rFonts w:ascii="Times New Roman" w:hAnsi="Times New Roman"/>
          <w:sz w:val="24"/>
          <w:szCs w:val="24"/>
        </w:rPr>
        <w:t xml:space="preserve">o, o pesquisador realiza medições repetidas em um único grupo, tanto antes quanto depois da exposição </w:t>
      </w:r>
      <w:r w:rsidR="00851CFD" w:rsidRPr="003779C6">
        <w:rPr>
          <w:rFonts w:ascii="Times New Roman" w:hAnsi="Times New Roman"/>
          <w:sz w:val="24"/>
          <w:szCs w:val="24"/>
        </w:rPr>
        <w:t>à</w:t>
      </w:r>
      <w:r w:rsidRPr="003779C6">
        <w:rPr>
          <w:rFonts w:ascii="Times New Roman" w:hAnsi="Times New Roman"/>
          <w:sz w:val="24"/>
          <w:szCs w:val="24"/>
        </w:rPr>
        <w:t xml:space="preserve"> intervenção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(20)</w:t>
      </w:r>
      <w:r w:rsidRPr="003779C6">
        <w:rPr>
          <w:rFonts w:ascii="Times New Roman" w:hAnsi="Times New Roman"/>
          <w:sz w:val="24"/>
          <w:szCs w:val="24"/>
        </w:rPr>
        <w:t xml:space="preserve">. 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779C6">
        <w:rPr>
          <w:rFonts w:ascii="Times New Roman" w:hAnsi="Times New Roman"/>
          <w:bCs/>
          <w:sz w:val="24"/>
          <w:szCs w:val="24"/>
        </w:rPr>
        <w:t>O estudo foi realizado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779C6">
        <w:rPr>
          <w:rFonts w:ascii="Times New Roman" w:hAnsi="Times New Roman"/>
          <w:bCs/>
          <w:sz w:val="24"/>
          <w:szCs w:val="24"/>
        </w:rPr>
        <w:t>entre outubro e novembro de 2023, em uma instituição pública de ensino superior</w:t>
      </w:r>
      <w:r w:rsidR="00851CFD" w:rsidRPr="003779C6">
        <w:rPr>
          <w:rFonts w:ascii="Times New Roman" w:hAnsi="Times New Roman"/>
          <w:bCs/>
          <w:sz w:val="24"/>
          <w:szCs w:val="24"/>
        </w:rPr>
        <w:t>,</w:t>
      </w:r>
      <w:r w:rsidRPr="003779C6">
        <w:rPr>
          <w:rFonts w:ascii="Times New Roman" w:hAnsi="Times New Roman"/>
          <w:bCs/>
          <w:sz w:val="24"/>
          <w:szCs w:val="24"/>
        </w:rPr>
        <w:t xml:space="preserve"> localizada na região </w:t>
      </w:r>
      <w:r w:rsidR="00851CFD" w:rsidRPr="003779C6">
        <w:rPr>
          <w:rFonts w:ascii="Times New Roman" w:hAnsi="Times New Roman"/>
          <w:bCs/>
          <w:sz w:val="24"/>
          <w:szCs w:val="24"/>
        </w:rPr>
        <w:t>S</w:t>
      </w:r>
      <w:r w:rsidRPr="003779C6">
        <w:rPr>
          <w:rFonts w:ascii="Times New Roman" w:hAnsi="Times New Roman"/>
          <w:bCs/>
          <w:sz w:val="24"/>
          <w:szCs w:val="24"/>
        </w:rPr>
        <w:t xml:space="preserve">udeste do Brasil. A instituição oferece </w:t>
      </w:r>
      <w:r w:rsidR="00851CFD" w:rsidRPr="003779C6">
        <w:rPr>
          <w:rFonts w:ascii="Times New Roman" w:hAnsi="Times New Roman"/>
          <w:bCs/>
          <w:sz w:val="24"/>
          <w:szCs w:val="24"/>
        </w:rPr>
        <w:t>vári</w:t>
      </w:r>
      <w:r w:rsidRPr="003779C6">
        <w:rPr>
          <w:rFonts w:ascii="Times New Roman" w:hAnsi="Times New Roman"/>
          <w:bCs/>
          <w:sz w:val="24"/>
          <w:szCs w:val="24"/>
        </w:rPr>
        <w:t xml:space="preserve">os cursos de graduação na área da saúde, entre eles o de Enfermagem, integralizado em cinco anos ou dez semestres, com admissão semestral de até 40 estudantes. 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3779C6">
        <w:rPr>
          <w:rFonts w:ascii="Times New Roman" w:hAnsi="Times New Roman"/>
          <w:bCs/>
          <w:iCs/>
          <w:sz w:val="24"/>
          <w:szCs w:val="24"/>
        </w:rPr>
        <w:t>A população do estudo consistiu em alunos do curso de graduação em Enfermagem matriculados na disciplina eletiva “Práticas e Intervenções Avançadas em Saúde” (n = 34). Foram incluídos estudantes do 4º ao 10º período (2º ao 5º ano) do curso. Excluíram-se aqueles que participaram apenas parcialmente do estudo, ou seja, que não concluíram todas as etapas. O critério de inclusão, que abrange alunos do 4º e 5º período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s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 do curso, foi estabelecido com base no projeto pedagógico da graduação em Enfermagem, considerando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-se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 que esses estudantes já teriam concluído as disciplinas do ciclo básico, mas ainda não teriam cursado a disciplina Enfermagem na Saúde do Adulto e Idoso II (momento em que o conteúdo é abordado). 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R</w:t>
      </w:r>
      <w:r w:rsidRPr="003779C6">
        <w:rPr>
          <w:rFonts w:ascii="Times New Roman" w:hAnsi="Times New Roman"/>
          <w:bCs/>
          <w:iCs/>
          <w:sz w:val="24"/>
          <w:szCs w:val="24"/>
        </w:rPr>
        <w:t>essalta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-se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 que os alunos que não participaram de alguma etapa do estudo tiveram acesso ao mesmo conteúdo e às mesmas oportunidades de aprendizado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; c</w:t>
      </w:r>
      <w:r w:rsidRPr="003779C6">
        <w:rPr>
          <w:rFonts w:ascii="Times New Roman" w:hAnsi="Times New Roman"/>
          <w:bCs/>
          <w:iCs/>
          <w:sz w:val="24"/>
          <w:szCs w:val="24"/>
        </w:rPr>
        <w:t>ontudo, seus dados não foram incluídos n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esta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 pesquisa.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3779C6">
        <w:rPr>
          <w:rFonts w:ascii="Times New Roman" w:hAnsi="Times New Roman"/>
          <w:bCs/>
          <w:iCs/>
          <w:sz w:val="24"/>
          <w:szCs w:val="24"/>
        </w:rPr>
        <w:t>O recrutamento dos participantes contou com o apoio da coordenação do curso de Enfermagem, que divulgou a disciplina eletiva e sua ementa por e-mail aos discentes elegíveis. A amostra foi composta por todos os estudantes que se matricularam na disciplina. Dessa forma, a seleção ocorreu de maneira intencional e não probabilística.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hAnsi="Times New Roman"/>
          <w:bCs/>
          <w:iCs/>
          <w:sz w:val="24"/>
          <w:szCs w:val="24"/>
        </w:rPr>
        <w:t xml:space="preserve">Após a matrícula, solicitou-se à coordenação a lista com os nomes e e-mails dos alunos interessados para o envio do cronograma e das informações sobre o estudo. Com a confirmação individual de participação, 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 xml:space="preserve">foi </w:t>
      </w:r>
      <w:r w:rsidRPr="003779C6">
        <w:rPr>
          <w:rFonts w:ascii="Times New Roman" w:hAnsi="Times New Roman"/>
          <w:bCs/>
          <w:iCs/>
          <w:sz w:val="24"/>
          <w:szCs w:val="24"/>
        </w:rPr>
        <w:t>realiz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ada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 uma reunião presencial para esclarec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imento d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os objetivos da disciplina e </w:t>
      </w:r>
      <w:r w:rsidR="00851CFD" w:rsidRPr="003779C6">
        <w:rPr>
          <w:rFonts w:ascii="Times New Roman" w:hAnsi="Times New Roman"/>
          <w:bCs/>
          <w:iCs/>
          <w:sz w:val="24"/>
          <w:szCs w:val="24"/>
        </w:rPr>
        <w:t>d</w:t>
      </w:r>
      <w:r w:rsidRPr="003779C6">
        <w:rPr>
          <w:rFonts w:ascii="Times New Roman" w:hAnsi="Times New Roman"/>
          <w:bCs/>
          <w:iCs/>
          <w:sz w:val="24"/>
          <w:szCs w:val="24"/>
        </w:rPr>
        <w:t xml:space="preserve">o método a ser aplicado. 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Todos os estudantes foram informados sobre os objetivos do estudo e convidados a participar, assinando o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ermo de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onsentimento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ivre e esclarecido.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bscript"/>
        </w:rPr>
      </w:pP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Para a coleta de dados</w:t>
      </w:r>
      <w:r w:rsidR="00851CFD"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,</w:t>
      </w: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foram utilizados</w:t>
      </w:r>
      <w:r w:rsidR="00851CFD"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:</w:t>
      </w: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questionário sociodemográfico, teste de conhecimento teórico</w:t>
      </w: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  <w:vertAlign w:val="superscript"/>
        </w:rPr>
        <w:t>(21)</w:t>
      </w: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para avaliação de habilidades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(22)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bscript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bscript"/>
        </w:rPr>
      </w:pPr>
      <w:r w:rsidRPr="003779C6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O 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questionário para caracterização sociodemográfica continha perguntas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referentes a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sexo, idade, período da graduação e conhecimento prévio sobre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teste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(21)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validado de conhecimento teórico é composto por 10 questões de múltipla escolha, abrangendo identificação, tratamento e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manej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 da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(22)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para avaliação das habilidades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em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cenário clínico simulado contém 18 itens, distribuídos em cinco escalas: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anamnese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exame físico 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paramentação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(seis itens); suspeita de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, com identificação dos sinais d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a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Síndrome da Resposta Inflamatória Sistêmica e disfunção orgânica (cinco itens); manejo inicial do protocolo de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(cinco itens); e reavaliação das medidas iniciais (dois itens). Cada item é avaliado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conforme 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 desempenho do estudante,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n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as opções: inadequado (0 ponto), parcialmente adequado (0,5 ponto) e adequado (1 ponto). Para atingir a média mínima de 70%, o estudante deveria obter 12,5 pontos em 18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(21)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O estudo foi realizado em cinco etapas (</w:t>
      </w:r>
      <w:r w:rsidR="00C45B3F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Figura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1): 1) Avaliação do conhecimento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pré-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; 2) Treinamento de habilidades em cenário simulado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pré-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; 3) Condução de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estruturado; 4) Avaliação do conhecimento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pós-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; e 5) Treinamento de habilidades em cenário simulado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pós-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Na primeira etapa, os estudantes responderam a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questionário sociodemográfico e a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teste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(21)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conhecimento teórico sobre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(pré-teste), em ambiente reservado, com duração de 30 minutos. Em seguida, participaram de uma aula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teórico-prática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ministrada por enfermeira especialista, que abordou a identificação, o tratamento e o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manej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 da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em adultos. A aula foi fundamentada em protocolos e diretrizes internacionais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(2,11)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Na segunda etapa, os estudantes participaram de simulação clínica com cenário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(22)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validado sobre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em unidade de emergência, organizad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a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pelo autor principal e conduzida por equipe de pesquisa previamente treinada. A simulação foi dividida em três fases: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pré-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/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na qual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os alunos receberam orientações; intrassimulação, durante a qual foram avaliados por dois tutores com base em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adaptado; e </w:t>
      </w:r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feedback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individual, com duração de um minuto, no qual foram discutidos os pontos fortes e as áreas a melhorar, conforme o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(22)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9F04E7" w:rsidRPr="003779C6" w:rsidRDefault="009F04E7" w:rsidP="009F04E7">
      <w:pPr>
        <w:widowControl w:val="0"/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Na terceira etapa, o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foi conduzido com auxílio de perguntas que promoveram a reflexão dos estudantes, organizadas em cinco estágios. Na quarta etapa, os estudantes realizaram o pós-teste de conhecimento teórico sobre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em ambiente reservado com duração de 30 minutos, sendo o mesmo teste aplicado na etapa 1. Na quinta etapa, os estudantes participaram novamente do cenário de simulação clínica validado e adaptado, conforme descrito na etapa 2,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tendo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suas habilidades avaliadas pelos tutores por meio de 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(22)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O objetivo desta fase foi avaliar as habilidades dos alunos no manejo da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em cenário de simulação clínica, após a intervenção (</w:t>
      </w:r>
      <w:proofErr w:type="spellStart"/>
      <w:r w:rsidRPr="003779C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).</w:t>
      </w:r>
    </w:p>
    <w:p w:rsidR="0084373C" w:rsidRPr="003779C6" w:rsidRDefault="0084373C" w:rsidP="0084373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F04E7" w:rsidRPr="003779C6" w:rsidRDefault="00C45B3F" w:rsidP="00D7644E">
      <w:pPr>
        <w:shd w:val="clear" w:color="auto" w:fill="FFFFFF" w:themeFill="background1"/>
        <w:tabs>
          <w:tab w:val="left" w:pos="5459"/>
        </w:tabs>
        <w:spacing w:line="240" w:lineRule="auto"/>
        <w:ind w:left="-142"/>
        <w:jc w:val="both"/>
        <w:rPr>
          <w:spacing w:val="-2"/>
        </w:rPr>
      </w:pPr>
      <w:r w:rsidRPr="003779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Figura</w:t>
      </w:r>
      <w:r w:rsidR="009F04E7" w:rsidRPr="003779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1 - Operacionalização das etapas do estudo. Juiz de Fora, MG, Brasil, 2023</w:t>
      </w:r>
      <w:r w:rsidR="0084373C" w:rsidRPr="003779C6">
        <w:rPr>
          <w:spacing w:val="-2"/>
        </w:rPr>
        <w:t>.</w:t>
      </w:r>
    </w:p>
    <w:p w:rsidR="009F04E7" w:rsidRPr="003779C6" w:rsidRDefault="009F04E7" w:rsidP="009F04E7">
      <w:pPr>
        <w:shd w:val="clear" w:color="auto" w:fill="FFFFFF" w:themeFill="background1"/>
        <w:tabs>
          <w:tab w:val="left" w:pos="5459"/>
        </w:tabs>
        <w:spacing w:line="240" w:lineRule="auto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1699"/>
        <w:gridCol w:w="3033"/>
        <w:gridCol w:w="1563"/>
        <w:gridCol w:w="1526"/>
      </w:tblGrid>
      <w:tr w:rsidR="009F04E7" w:rsidRPr="003779C6" w:rsidTr="009F04E7">
        <w:trPr>
          <w:trHeight w:val="851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Título</w:t>
            </w:r>
          </w:p>
        </w:tc>
        <w:tc>
          <w:tcPr>
            <w:tcW w:w="348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63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Instrumento de Coleta de Dados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9F04E7" w:rsidRPr="003779C6" w:rsidTr="009F04E7">
        <w:trPr>
          <w:trHeight w:val="1138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Avaliação do conhecimento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pré-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348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Pré-teste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(21)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(30 minutos)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Aula teórica (2 horas)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Aula Prática (2 horas)</w:t>
            </w:r>
          </w:p>
        </w:tc>
        <w:tc>
          <w:tcPr>
            <w:tcW w:w="1563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Avaliação do conhecimento sobre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sepse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(21)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Primeiro dia</w:t>
            </w:r>
          </w:p>
        </w:tc>
      </w:tr>
      <w:tr w:rsidR="009F04E7" w:rsidRPr="003779C6" w:rsidTr="009F04E7">
        <w:trPr>
          <w:trHeight w:val="2826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Treinamento de habilidades em um cenário simulado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pré-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348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Pré-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briefing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(5 minutos)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Intrassimulação: leitura do caso pelo participante (1 minuto) e desenvolvimento do cenário de simulação clínica validado e adaptado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(22)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(10 minutos)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- Avaliação de habilidades através de um </w:t>
            </w:r>
            <w:proofErr w:type="spellStart"/>
            <w:r w:rsidRPr="003779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checklist</w:t>
            </w:r>
            <w:proofErr w:type="spellEnd"/>
            <w:r w:rsidRPr="003779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vertAlign w:val="superscript"/>
              </w:rPr>
              <w:t>(22)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Feedback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individual (1 minuto)</w:t>
            </w:r>
          </w:p>
        </w:tc>
        <w:tc>
          <w:tcPr>
            <w:tcW w:w="1563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3779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Checklist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avaliação de habilidades adaptado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(22)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Segundo dia</w:t>
            </w:r>
          </w:p>
        </w:tc>
      </w:tr>
      <w:tr w:rsidR="009F04E7" w:rsidRPr="003779C6" w:rsidTr="009F04E7">
        <w:trPr>
          <w:trHeight w:val="3761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Condução de um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estruturado</w:t>
            </w:r>
          </w:p>
        </w:tc>
        <w:tc>
          <w:tcPr>
            <w:tcW w:w="5043" w:type="dxa"/>
            <w:gridSpan w:val="2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“Refletindo” (30 minutos). As seguintes perguntas foram realizadas nesta etapa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(22)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:rsidR="009F04E7" w:rsidRPr="003779C6" w:rsidRDefault="009F04E7" w:rsidP="009F04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Estágio emocional: Como vocês se sentiram atendendo esse paciente?</w:t>
            </w:r>
          </w:p>
          <w:p w:rsidR="009F04E7" w:rsidRPr="003779C6" w:rsidRDefault="009F04E7" w:rsidP="009F04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Estágio descritivo: Vocês poderiam descrever o quadro clínico encontrado?</w:t>
            </w:r>
          </w:p>
          <w:p w:rsidR="009F04E7" w:rsidRPr="003779C6" w:rsidRDefault="009F04E7" w:rsidP="009F04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Estágio avaliativo: Quais foram as ações positivas que vocês realizaram?</w:t>
            </w:r>
          </w:p>
          <w:p w:rsidR="009F04E7" w:rsidRPr="003779C6" w:rsidRDefault="009F04E7" w:rsidP="009F04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Estágio analítico: O que vocês fariam se tivessem outra oportunidade?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Estágio conclusivo: O que vocês levam de aprendizado dessa experiência para a sua prática clínica? 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Segundo dia</w:t>
            </w:r>
          </w:p>
        </w:tc>
      </w:tr>
      <w:tr w:rsidR="009F04E7" w:rsidRPr="003779C6" w:rsidTr="009F04E7">
        <w:trPr>
          <w:trHeight w:val="826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Avaliação do conhecimento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pós-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348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Pós-teste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(21)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(30 minutos)</w:t>
            </w:r>
          </w:p>
        </w:tc>
        <w:tc>
          <w:tcPr>
            <w:tcW w:w="1563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Avaliação do conhecimento sobre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sepse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(21)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dias após a intervenção</w:t>
            </w:r>
          </w:p>
        </w:tc>
      </w:tr>
      <w:tr w:rsidR="009F04E7" w:rsidRPr="003779C6" w:rsidTr="009F04E7">
        <w:trPr>
          <w:trHeight w:val="2228"/>
        </w:trPr>
        <w:tc>
          <w:tcPr>
            <w:tcW w:w="93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1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Treinamento de habilidades em um cenário simulado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pós-</w:t>
            </w:r>
            <w:r w:rsidRPr="003779C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3480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Pré-briefing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(5 minutos)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Intrassimulação: leitura do caso pelo participante (1 minuto) e desenvolvimento do cenário de simulação clínica validado e adaptado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 xml:space="preserve">(22)  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(10 minutos)</w:t>
            </w:r>
          </w:p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- Avaliação de habilidades através de um </w:t>
            </w:r>
            <w:r w:rsidRPr="003779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checklist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563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3779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Checklist</w:t>
            </w:r>
            <w:proofErr w:type="spellEnd"/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 avaliação de habilidades adaptado</w:t>
            </w: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(22)</w:t>
            </w:r>
          </w:p>
        </w:tc>
        <w:tc>
          <w:tcPr>
            <w:tcW w:w="1598" w:type="dxa"/>
            <w:vAlign w:val="center"/>
          </w:tcPr>
          <w:p w:rsidR="009F04E7" w:rsidRPr="003779C6" w:rsidRDefault="009F04E7" w:rsidP="009F04E7">
            <w:pPr>
              <w:tabs>
                <w:tab w:val="left" w:pos="1134"/>
              </w:tabs>
              <w:mirrorIndents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dias após a intervenção</w:t>
            </w:r>
          </w:p>
        </w:tc>
      </w:tr>
    </w:tbl>
    <w:p w:rsidR="009F04E7" w:rsidRPr="003779C6" w:rsidRDefault="009F04E7" w:rsidP="009F04E7">
      <w:pPr>
        <w:shd w:val="clear" w:color="auto" w:fill="FFFFFF" w:themeFill="background1"/>
        <w:tabs>
          <w:tab w:val="left" w:pos="5459"/>
        </w:tabs>
        <w:spacing w:line="240" w:lineRule="auto"/>
        <w:jc w:val="both"/>
        <w:rPr>
          <w:spacing w:val="-2"/>
        </w:rPr>
      </w:pPr>
    </w:p>
    <w:p w:rsidR="004A0C5A" w:rsidRPr="003779C6" w:rsidRDefault="004A0C5A" w:rsidP="009F04E7">
      <w:pPr>
        <w:shd w:val="clear" w:color="auto" w:fill="FFFFFF" w:themeFill="background1"/>
        <w:tabs>
          <w:tab w:val="left" w:pos="5459"/>
        </w:tabs>
        <w:spacing w:line="240" w:lineRule="auto"/>
        <w:jc w:val="both"/>
        <w:rPr>
          <w:b/>
          <w:bCs/>
          <w:i/>
          <w:iCs/>
          <w:color w:val="000000" w:themeColor="text1"/>
          <w:sz w:val="16"/>
          <w:szCs w:val="16"/>
        </w:rPr>
      </w:pPr>
    </w:p>
    <w:p w:rsidR="009F04E7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lastRenderedPageBreak/>
        <w:t xml:space="preserve">Os dados foram tabulados no </w:t>
      </w:r>
      <w:r w:rsidRPr="003779C6">
        <w:rPr>
          <w:rFonts w:ascii="Times New Roman" w:eastAsia="Times New Roman" w:hAnsi="Times New Roman"/>
          <w:i/>
          <w:color w:val="000000"/>
          <w:sz w:val="24"/>
          <w:szCs w:val="24"/>
        </w:rPr>
        <w:t>Microsoft Excel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</w:rPr>
        <w:t>®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e trans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feri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dos para o </w:t>
      </w:r>
      <w:r w:rsidRPr="003779C6">
        <w:rPr>
          <w:rFonts w:ascii="Times New Roman" w:eastAsia="Times New Roman" w:hAnsi="Times New Roman"/>
          <w:i/>
          <w:color w:val="000000"/>
          <w:sz w:val="24"/>
          <w:szCs w:val="24"/>
        </w:rPr>
        <w:t>software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="00782D41" w:rsidRPr="00782D41">
        <w:rPr>
          <w:rFonts w:ascii="Times New Roman" w:eastAsia="Times New Roman" w:hAnsi="Times New Roman"/>
          <w:iCs/>
          <w:color w:val="000000"/>
          <w:sz w:val="24"/>
          <w:szCs w:val="24"/>
        </w:rPr>
        <w:t>Stata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  <w:vertAlign w:val="superscript"/>
        </w:rPr>
        <w:t>®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v.</w:t>
      </w:r>
      <w:r w:rsidR="00DB396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18, no qual foram realizadas as análises 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estatísticas. Calcularam-se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as frequências absolutas e relativas para as variáveis qualitativas de caracterização dos estudantes. Para a variável idade, de natureza quantitativa, foram determinados a média e o desvio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padrão.</w:t>
      </w:r>
    </w:p>
    <w:p w:rsidR="009F04E7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Para comparar os escores do teste de conhecimento teórico e do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de avaliação da simulação clínica nos momentos pré e pós-intervenção, 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foi 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utiliz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ad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o o teste de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Wilcoxon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, adequado para amostras pareadas e distribuição não paramétrica. O tamanho do efeito foi calculado 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por meio d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a estatística r de Rosenthal, 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com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interpreta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ção baseada n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os critérios de Cohen (pequeno: 0,1; médio: 0,3; grande: ≥ 0,5).</w:t>
      </w:r>
    </w:p>
    <w:p w:rsidR="009F04E7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A avaliação da mudança na classificação global dos participantes no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de habilidades foi realizada pelo teste de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McNemar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, a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propri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ado para variáveis categóricas pareadas.</w:t>
      </w:r>
    </w:p>
    <w:p w:rsidR="009F04E7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A consistência interna do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de avaliação da simulação clínica foi determinada pelo coeficiente alfa de </w:t>
      </w:r>
      <w:proofErr w:type="spellStart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Cronbach</w:t>
      </w:r>
      <w:proofErr w:type="spellEnd"/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, considera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n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do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-se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um valor ≥ 0,7 como indicativo de confiabilidade satisfatória do instrumento. O nível de significância adotado foi de 5% (p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&lt;</w:t>
      </w:r>
      <w:r w:rsidR="00851CFD"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3779C6">
        <w:rPr>
          <w:rFonts w:ascii="Times New Roman" w:eastAsia="Times New Roman" w:hAnsi="Times New Roman"/>
          <w:iCs/>
          <w:color w:val="000000"/>
          <w:sz w:val="24"/>
          <w:szCs w:val="24"/>
        </w:rPr>
        <w:t>0,05).</w:t>
      </w:r>
    </w:p>
    <w:p w:rsidR="004A0C5A" w:rsidRPr="003779C6" w:rsidRDefault="009F04E7" w:rsidP="009F04E7">
      <w:pPr>
        <w:pStyle w:val="Corpodetexto"/>
        <w:spacing w:line="276" w:lineRule="auto"/>
        <w:ind w:firstLine="1134"/>
        <w:jc w:val="both"/>
        <w:rPr>
          <w:lang w:val="pt-BR"/>
        </w:rPr>
      </w:pPr>
      <w:r w:rsidRPr="003779C6">
        <w:rPr>
          <w:iCs/>
          <w:color w:val="000000"/>
          <w:lang w:val="pt-BR"/>
        </w:rPr>
        <w:t>O estudo respeitou os preceitos da Resolução 466/2012, do Conselho Nacional de Saúde, que regulamenta as normas para a realização d</w:t>
      </w:r>
      <w:r w:rsidR="00851CFD" w:rsidRPr="003779C6">
        <w:rPr>
          <w:iCs/>
          <w:color w:val="000000"/>
          <w:lang w:val="pt-BR"/>
        </w:rPr>
        <w:t>e</w:t>
      </w:r>
      <w:r w:rsidRPr="003779C6">
        <w:rPr>
          <w:iCs/>
          <w:color w:val="000000"/>
          <w:lang w:val="pt-BR"/>
        </w:rPr>
        <w:t xml:space="preserve"> pesquisa</w:t>
      </w:r>
      <w:r w:rsidR="00851CFD" w:rsidRPr="003779C6">
        <w:rPr>
          <w:iCs/>
          <w:color w:val="000000"/>
          <w:lang w:val="pt-BR"/>
        </w:rPr>
        <w:t>s</w:t>
      </w:r>
      <w:r w:rsidRPr="003779C6">
        <w:rPr>
          <w:iCs/>
          <w:color w:val="000000"/>
          <w:lang w:val="pt-BR"/>
        </w:rPr>
        <w:t xml:space="preserve"> envolvendo seres humanos, utilizou o Termo de Consentimento Livre e Esclarecido e foi aprovado pelo Comitê de Ética e</w:t>
      </w:r>
      <w:r w:rsidR="00851CFD" w:rsidRPr="003779C6">
        <w:rPr>
          <w:iCs/>
          <w:color w:val="000000"/>
          <w:lang w:val="pt-BR"/>
        </w:rPr>
        <w:t>m</w:t>
      </w:r>
      <w:r w:rsidRPr="003779C6">
        <w:rPr>
          <w:iCs/>
          <w:color w:val="000000"/>
          <w:lang w:val="pt-BR"/>
        </w:rPr>
        <w:t xml:space="preserve"> Pesquisa da Universidade Federal de Juiz de Fora.</w:t>
      </w:r>
    </w:p>
    <w:p w:rsidR="004A0C5A" w:rsidRPr="003779C6" w:rsidRDefault="004A0C5A" w:rsidP="0084373C">
      <w:pPr>
        <w:pStyle w:val="Corpodetexto"/>
        <w:ind w:left="709" w:hanging="711"/>
        <w:rPr>
          <w:spacing w:val="-2"/>
          <w:lang w:val="pt-BR"/>
        </w:rPr>
      </w:pPr>
    </w:p>
    <w:p w:rsidR="00DD7FFD" w:rsidRPr="003779C6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</w:t>
      </w:r>
      <w:r w:rsidR="0064167C"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ESULTADOS</w:t>
      </w:r>
    </w:p>
    <w:p w:rsidR="008A2872" w:rsidRPr="003779C6" w:rsidRDefault="008A2872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F04E7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Dos 34 estudantes elegíveis, cinco desistiram de cursar a disciplina, nove não participaram de alguma das etapas e 20 concluíram o protocolo de intervenção. </w:t>
      </w:r>
      <w:r w:rsidR="00851CFD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ntre os participantes, 14 eram do sexo feminino (70%), e 12 estavam matriculados no sétimo ou oitavo período da graduação (60%). A média de idade foi de 22,25 anos (±1,68). Quando questionados sobre o conhecimento prévio de algum protocolo de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, todos relataram desconhecimento; en</w:t>
      </w:r>
      <w:r w:rsidR="00851CFD" w:rsidRPr="003779C6">
        <w:rPr>
          <w:rFonts w:ascii="Times New Roman" w:hAnsi="Times New Roman"/>
          <w:sz w:val="24"/>
          <w:szCs w:val="24"/>
        </w:rPr>
        <w:t>tre</w:t>
      </w:r>
      <w:r w:rsidRPr="003779C6">
        <w:rPr>
          <w:rFonts w:ascii="Times New Roman" w:hAnsi="Times New Roman"/>
          <w:sz w:val="24"/>
          <w:szCs w:val="24"/>
        </w:rPr>
        <w:t xml:space="preserve">tanto, todos </w:t>
      </w:r>
      <w:r w:rsidR="00851CFD" w:rsidRPr="003779C6">
        <w:rPr>
          <w:rFonts w:ascii="Times New Roman" w:hAnsi="Times New Roman"/>
          <w:sz w:val="24"/>
          <w:szCs w:val="24"/>
        </w:rPr>
        <w:t>haviam tido</w:t>
      </w:r>
      <w:r w:rsidRPr="003779C6">
        <w:rPr>
          <w:rFonts w:ascii="Times New Roman" w:hAnsi="Times New Roman"/>
          <w:sz w:val="24"/>
          <w:szCs w:val="24"/>
        </w:rPr>
        <w:t xml:space="preserve"> experiência prévia com simulação clínica.</w:t>
      </w:r>
    </w:p>
    <w:p w:rsidR="00851CFD" w:rsidRPr="003779C6" w:rsidRDefault="009F04E7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No teste</w:t>
      </w:r>
      <w:r w:rsidR="00782D41" w:rsidRPr="00782D41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(</w:t>
      </w:r>
      <w:r w:rsidRPr="00DB3962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21</w:t>
      </w:r>
      <w:r w:rsidR="00DB3962" w:rsidRPr="00DB3962"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</w:rPr>
        <w:t>)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conhecimento teórico sobre identificação, tratamento e gerenciamento da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, o pré-teste revelou maior percentual de acertos nos itens 1 e 8, enquanto os itens 7 e 10 apresentaram os menores percentuais de acerto.</w:t>
      </w:r>
    </w:p>
    <w:p w:rsidR="00851CFD" w:rsidRPr="003779C6" w:rsidRDefault="00851CFD" w:rsidP="009F04E7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A2872" w:rsidRPr="003779C6" w:rsidRDefault="009F04E7" w:rsidP="009F04E7">
      <w:pPr>
        <w:pStyle w:val="Corpodetexto"/>
        <w:jc w:val="both"/>
        <w:rPr>
          <w:bCs/>
          <w:lang w:val="pt-BR"/>
        </w:rPr>
      </w:pPr>
      <w:r w:rsidRPr="003779C6">
        <w:rPr>
          <w:bCs/>
          <w:color w:val="000000"/>
          <w:lang w:val="pt-BR" w:eastAsia="pt-BR"/>
        </w:rPr>
        <w:t xml:space="preserve">No pós-teste, observou-se aumento no percentual de acertos em todos os itens do teste de conhecimento. Destaca-se que os itens com maior frequência de acertos no pré-teste também foram os que </w:t>
      </w:r>
      <w:r w:rsidR="00851CFD" w:rsidRPr="003779C6">
        <w:rPr>
          <w:bCs/>
          <w:color w:val="000000"/>
          <w:lang w:val="pt-BR" w:eastAsia="pt-BR"/>
        </w:rPr>
        <w:t>apresenta</w:t>
      </w:r>
      <w:r w:rsidRPr="003779C6">
        <w:rPr>
          <w:bCs/>
          <w:color w:val="000000"/>
          <w:lang w:val="pt-BR" w:eastAsia="pt-BR"/>
        </w:rPr>
        <w:t>ram os maiores índices no pós-teste, porém com incremento nos percentuais, co</w:t>
      </w:r>
      <w:r w:rsidR="00851CFD" w:rsidRPr="003779C6">
        <w:rPr>
          <w:bCs/>
          <w:color w:val="000000"/>
          <w:lang w:val="pt-BR" w:eastAsia="pt-BR"/>
        </w:rPr>
        <w:t>nforme exibido n</w:t>
      </w:r>
      <w:r w:rsidRPr="003779C6">
        <w:rPr>
          <w:bCs/>
          <w:color w:val="000000"/>
          <w:lang w:val="pt-BR" w:eastAsia="pt-BR"/>
        </w:rPr>
        <w:t>a Tabela 1.</w:t>
      </w:r>
    </w:p>
    <w:p w:rsidR="008A2872" w:rsidRPr="003779C6" w:rsidRDefault="008A2872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A2872" w:rsidRPr="003779C6" w:rsidRDefault="00005B7E" w:rsidP="00D1415A">
      <w:pPr>
        <w:shd w:val="clear" w:color="auto" w:fill="FFFFFF" w:themeFill="background1"/>
        <w:tabs>
          <w:tab w:val="left" w:pos="5459"/>
        </w:tabs>
        <w:spacing w:line="240" w:lineRule="auto"/>
        <w:ind w:left="-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Tabela 1 - Distribuição dos acertos dos alunos no teste de conhecimento, por item, nos períodos pré e pós-teste. Juiz de Fora, MG, Brasil, 2023. (n=20)</w:t>
      </w:r>
      <w:r w:rsidRPr="003779C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05B7E" w:rsidRPr="003779C6" w:rsidRDefault="00005B7E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6"/>
        <w:gridCol w:w="1904"/>
        <w:gridCol w:w="1907"/>
      </w:tblGrid>
      <w:tr w:rsidR="009F04E7" w:rsidRPr="003779C6" w:rsidTr="009F04E7">
        <w:trPr>
          <w:tblHeader/>
          <w:tblCellSpacing w:w="15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Pré-teste (%)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Pós-teste (%)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 Definição de </w:t>
            </w:r>
            <w:proofErr w:type="spellStart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sepse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2. Disfunções orgânicas na </w:t>
            </w:r>
            <w:proofErr w:type="spellStart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sepse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3. Componentes do </w:t>
            </w:r>
            <w:proofErr w:type="spellStart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qSOFA</w:t>
            </w:r>
            <w:proofErr w:type="spellEnd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 Reposição volêmica inicial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 Indicação de vasopressores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6. Tempo para início de antimicrobianos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 Contraindicação de coloides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 Coleta de hemoculturas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9. Uso de bicarbonato na acidose lática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9F04E7" w:rsidRPr="003779C6" w:rsidTr="009F04E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10. Parâmetros </w:t>
            </w:r>
            <w:proofErr w:type="spellStart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perfusionais</w:t>
            </w:r>
            <w:proofErr w:type="spellEnd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ressuscitação</w:t>
            </w:r>
            <w:proofErr w:type="spellEnd"/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volêmica</w:t>
            </w:r>
          </w:p>
        </w:tc>
        <w:tc>
          <w:tcPr>
            <w:tcW w:w="2096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82" w:type="dxa"/>
            <w:vAlign w:val="center"/>
            <w:hideMark/>
          </w:tcPr>
          <w:p w:rsidR="009F04E7" w:rsidRPr="003779C6" w:rsidRDefault="009F04E7" w:rsidP="009F04E7">
            <w:pPr>
              <w:tabs>
                <w:tab w:val="left" w:pos="1134"/>
              </w:tabs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</w:tbl>
    <w:p w:rsidR="00005B7E" w:rsidRPr="00D96A69" w:rsidRDefault="00445EF6" w:rsidP="00005B7E">
      <w:pPr>
        <w:tabs>
          <w:tab w:val="left" w:pos="1134"/>
        </w:tabs>
        <w:rPr>
          <w:rFonts w:ascii="Times New Roman" w:hAnsi="Times New Roman"/>
          <w:sz w:val="16"/>
          <w:szCs w:val="16"/>
          <w:lang w:val="en-US"/>
        </w:rPr>
      </w:pPr>
      <w:r w:rsidRPr="00445EF6">
        <w:rPr>
          <w:rFonts w:ascii="Times New Roman" w:hAnsi="Times New Roman"/>
          <w:sz w:val="16"/>
          <w:szCs w:val="16"/>
          <w:lang w:val="en-US"/>
        </w:rPr>
        <w:t xml:space="preserve">* </w:t>
      </w:r>
      <w:proofErr w:type="spellStart"/>
      <w:r w:rsidRPr="00445EF6">
        <w:rPr>
          <w:rFonts w:ascii="Times New Roman" w:hAnsi="Times New Roman"/>
          <w:sz w:val="16"/>
          <w:szCs w:val="16"/>
          <w:lang w:val="en-US"/>
        </w:rPr>
        <w:t>qSOFA</w:t>
      </w:r>
      <w:proofErr w:type="spellEnd"/>
      <w:r w:rsidRPr="00445EF6">
        <w:rPr>
          <w:rFonts w:ascii="Times New Roman" w:hAnsi="Times New Roman"/>
          <w:sz w:val="16"/>
          <w:szCs w:val="16"/>
          <w:lang w:val="en-US"/>
        </w:rPr>
        <w:t xml:space="preserve"> = quick Sequential Organ Failure Assessment</w:t>
      </w:r>
    </w:p>
    <w:p w:rsidR="00005B7E" w:rsidRPr="00D96A69" w:rsidRDefault="00005B7E" w:rsidP="00005B7E">
      <w:pPr>
        <w:pStyle w:val="Corpodetexto"/>
        <w:spacing w:line="276" w:lineRule="auto"/>
        <w:jc w:val="both"/>
        <w:rPr>
          <w:lang w:val="en-US"/>
        </w:rPr>
      </w:pPr>
    </w:p>
    <w:p w:rsidR="00005B7E" w:rsidRPr="003779C6" w:rsidRDefault="00005B7E" w:rsidP="00005B7E">
      <w:pPr>
        <w:tabs>
          <w:tab w:val="left" w:pos="1134"/>
        </w:tabs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 média do somatório das notas obtidas no pré-teste foi </w:t>
      </w:r>
      <w:r w:rsidR="00851CFD"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de 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2,50 (±1,23), enquanto no pós-teste foi de 5,95 (±1,14), apresentando uma diferença estatisticamente significativa (p&lt;0,001, teste de </w:t>
      </w:r>
      <w:proofErr w:type="spellStart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Wilcoxon</w:t>
      </w:r>
      <w:proofErr w:type="spellEnd"/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>). O tamanho do efeito foi r = 0,81, indicando um efeito grande da intervenção.</w:t>
      </w:r>
    </w:p>
    <w:p w:rsidR="00005B7E" w:rsidRPr="003779C6" w:rsidRDefault="00005B7E" w:rsidP="0001440E">
      <w:pPr>
        <w:pStyle w:val="Corpodetexto"/>
        <w:spacing w:line="276" w:lineRule="auto"/>
        <w:ind w:firstLine="1134"/>
        <w:jc w:val="both"/>
        <w:rPr>
          <w:lang w:val="pt-BR"/>
        </w:rPr>
      </w:pPr>
      <w:r w:rsidRPr="003779C6">
        <w:rPr>
          <w:bCs/>
          <w:color w:val="000000"/>
        </w:rPr>
        <w:t xml:space="preserve">Em relação ao </w:t>
      </w:r>
      <w:r w:rsidRPr="003779C6">
        <w:rPr>
          <w:bCs/>
          <w:i/>
          <w:iCs/>
          <w:color w:val="000000"/>
        </w:rPr>
        <w:t>checklist</w:t>
      </w:r>
      <w:r w:rsidRPr="003779C6">
        <w:rPr>
          <w:bCs/>
          <w:color w:val="000000"/>
        </w:rPr>
        <w:t xml:space="preserve"> de avaliação utilizado no cenário de simulação clínica, nos períodos pré e pós-</w:t>
      </w:r>
      <w:r w:rsidRPr="003779C6">
        <w:rPr>
          <w:bCs/>
          <w:i/>
          <w:iCs/>
          <w:color w:val="000000"/>
        </w:rPr>
        <w:t>debriefing</w:t>
      </w:r>
      <w:r w:rsidRPr="003779C6">
        <w:rPr>
          <w:bCs/>
          <w:color w:val="000000"/>
        </w:rPr>
        <w:t>, observou-se que, inicialmente, todos os itens apresentaram ao menos uma resposta inadequada. Destaca-se que, no item 5, não houve qualquer resposta correta nesta etapa. No pós-</w:t>
      </w:r>
      <w:r w:rsidRPr="003779C6">
        <w:rPr>
          <w:bCs/>
          <w:i/>
          <w:iCs/>
          <w:color w:val="000000"/>
        </w:rPr>
        <w:t>debriefing</w:t>
      </w:r>
      <w:r w:rsidRPr="003779C6">
        <w:rPr>
          <w:bCs/>
          <w:color w:val="000000"/>
        </w:rPr>
        <w:t>, os itens 3, 4, 9 e 10 foram avaliados como totalmente adequados, conforme mostrado na Tabela 2.</w:t>
      </w:r>
    </w:p>
    <w:p w:rsidR="00005B7E" w:rsidRPr="003779C6" w:rsidRDefault="00005B7E" w:rsidP="00D1415A">
      <w:pPr>
        <w:tabs>
          <w:tab w:val="left" w:pos="1134"/>
        </w:tabs>
        <w:spacing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779C6">
        <w:rPr>
          <w:rFonts w:ascii="Times New Roman" w:hAnsi="Times New Roman"/>
          <w:bCs/>
          <w:color w:val="000000"/>
          <w:sz w:val="24"/>
          <w:szCs w:val="24"/>
        </w:rPr>
        <w:t xml:space="preserve">Tabela 2 - Distribuição das respostas dos alunos, por item, no </w:t>
      </w:r>
      <w:proofErr w:type="spellStart"/>
      <w:r w:rsidRPr="003779C6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3779C6">
        <w:rPr>
          <w:rFonts w:ascii="Times New Roman" w:hAnsi="Times New Roman"/>
          <w:bCs/>
          <w:iCs/>
          <w:color w:val="000000"/>
          <w:sz w:val="24"/>
          <w:szCs w:val="24"/>
        </w:rPr>
        <w:t>hecklist</w:t>
      </w:r>
      <w:proofErr w:type="spellEnd"/>
      <w:r w:rsidRPr="003779C6">
        <w:rPr>
          <w:rFonts w:ascii="Times New Roman" w:hAnsi="Times New Roman"/>
          <w:bCs/>
          <w:color w:val="000000"/>
          <w:sz w:val="24"/>
          <w:szCs w:val="24"/>
        </w:rPr>
        <w:t xml:space="preserve"> de avaliação da simulação clínica nos períodos pré e </w:t>
      </w:r>
      <w:proofErr w:type="spellStart"/>
      <w:r w:rsidRPr="003779C6">
        <w:rPr>
          <w:rFonts w:ascii="Times New Roman" w:hAnsi="Times New Roman"/>
          <w:bCs/>
          <w:color w:val="000000"/>
          <w:sz w:val="24"/>
          <w:szCs w:val="24"/>
        </w:rPr>
        <w:t>pós-</w:t>
      </w:r>
      <w:r w:rsidRPr="003779C6">
        <w:rPr>
          <w:rFonts w:ascii="Times New Roman" w:hAnsi="Times New Roman"/>
          <w:bCs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  <w:r w:rsidRPr="003779C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Juiz de Fora, MG, Brasil, 2023. (n=20).</w:t>
      </w:r>
    </w:p>
    <w:tbl>
      <w:tblPr>
        <w:tblW w:w="5000" w:type="pct"/>
        <w:tblLook w:val="04A0"/>
      </w:tblPr>
      <w:tblGrid>
        <w:gridCol w:w="3579"/>
        <w:gridCol w:w="939"/>
        <w:gridCol w:w="816"/>
        <w:gridCol w:w="816"/>
        <w:gridCol w:w="96"/>
        <w:gridCol w:w="721"/>
        <w:gridCol w:w="816"/>
        <w:gridCol w:w="940"/>
      </w:tblGrid>
      <w:tr w:rsidR="00005B7E" w:rsidRPr="003779C6" w:rsidTr="00D1415A">
        <w:trPr>
          <w:trHeight w:val="315"/>
        </w:trPr>
        <w:tc>
          <w:tcPr>
            <w:tcW w:w="2051" w:type="pct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52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Pré-</w:t>
            </w:r>
            <w:r w:rsidRPr="003779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14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Pós-</w:t>
            </w:r>
            <w:r w:rsidRPr="003779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debriefing</w:t>
            </w:r>
            <w:proofErr w:type="spellEnd"/>
          </w:p>
        </w:tc>
      </w:tr>
      <w:tr w:rsidR="00005B7E" w:rsidRPr="003779C6" w:rsidTr="00D1415A">
        <w:trPr>
          <w:trHeight w:val="259"/>
        </w:trPr>
        <w:tc>
          <w:tcPr>
            <w:tcW w:w="2051" w:type="pct"/>
            <w:vMerge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3779C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†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PA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>‡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>§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3779C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†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PA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>‡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>§</w:t>
            </w:r>
          </w:p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n* (%)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  <w:tcBorders>
              <w:top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1. Identifica-se adequadamente para o paciente e familiar</w:t>
            </w:r>
          </w:p>
        </w:tc>
        <w:tc>
          <w:tcPr>
            <w:tcW w:w="538" w:type="pc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5 (25,0)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14 (70,0)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3 (15,0)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17 (85,0)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2. Realiza a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anamnese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focada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19 (95,0)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18 (90,0)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3. Busca as informações na ficha de classificação de risco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19 (95,0)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20 (100,0)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4. Identifica as alterações nos sinais vitais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19 (95,0)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20 (100,0)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5. Higieniza as mãos e paramenta-se corretamente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20 (100,0)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3 (15,0)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13 (65,0)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4 (20,0)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6. Realiza o exame físico específico do abdome e identifica os demais achados globais 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alterados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 (20,0)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12 (60,0)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4 (20,0)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8 (40,0)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12 (60,0)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Item 7. Identifica e associa os sinais de taquicardia,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taquipneia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hipertermia com a manifestação da SRIS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||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3 (15,0)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10 (50,0)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8. Identifica e associa os sinais de alteração do nível de consciência, hipotensão e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oligúria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como disfunção orgânica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3 (15,0)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11 (55,0)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9 (45,0)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9 (45,0)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9. Suspeita de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sepse</w:t>
            </w:r>
            <w:proofErr w:type="spellEnd"/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18 (90,0)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20 (100,0)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10. Abre o protocolo de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sepse</w:t>
            </w:r>
            <w:proofErr w:type="spellEnd"/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13 (65,0)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20 (100,0)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11. Aciona a equipe médica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5 (25,0)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14 (70,0)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19 (95,0)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12. Verbaliza a coleta de exames de sangue e culturas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4 (20,0)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16 (80,0)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18 (90,0)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13. Explica a necessidade da coleta do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Lactato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Sérico e da Hemocultura (dois sítios distintos) e sua relação com a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sepse</w:t>
            </w:r>
            <w:proofErr w:type="spellEnd"/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4 (20,0)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10 (50,0)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12 (60,0)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14. Verbaliza a administração dos antibióticos logo após a coleta das culturas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8 (40,0)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11 (55,0)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4 (20,0)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5 (25,0)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11 (55,0)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15. Verbaliza o tempo máximo de até 1 hora para início da administração dos antibióticos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8 (40,0)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12 (60,0)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18 (90,0)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16. Verbaliza a administração de reposição volêmica e o quantitativo adequado, conforme protocolo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5 (25,0)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15 (75,0)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Item 17. Avalia a resposta à reposição volêmica e a perfusão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7 (35,0)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11 (55,0)</w:t>
            </w:r>
          </w:p>
        </w:tc>
        <w:tc>
          <w:tcPr>
            <w:tcW w:w="468" w:type="pct"/>
            <w:gridSpan w:val="2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13 (65,0)</w:t>
            </w:r>
          </w:p>
        </w:tc>
        <w:tc>
          <w:tcPr>
            <w:tcW w:w="538" w:type="pct"/>
            <w:vAlign w:val="center"/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</w:tr>
      <w:tr w:rsidR="00005B7E" w:rsidRPr="003779C6" w:rsidTr="00D1415A">
        <w:trPr>
          <w:trHeight w:val="340"/>
        </w:trPr>
        <w:tc>
          <w:tcPr>
            <w:tcW w:w="2051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Item 18. Avalia a necessidade de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monitorização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pelo </w:t>
            </w:r>
            <w:proofErr w:type="spellStart"/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qSOFA</w:t>
            </w:r>
            <w:proofErr w:type="spellEnd"/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¶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17 (85,0)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 (5,0)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2 (10,0)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6 (30,0)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005B7E" w:rsidRPr="003779C6" w:rsidRDefault="00005B7E" w:rsidP="00D1415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color w:val="000000"/>
                <w:sz w:val="24"/>
                <w:szCs w:val="24"/>
              </w:rPr>
              <w:t>12 (60,0)</w:t>
            </w:r>
          </w:p>
        </w:tc>
      </w:tr>
    </w:tbl>
    <w:p w:rsidR="00005B7E" w:rsidRPr="003779C6" w:rsidRDefault="00005B7E" w:rsidP="00005B7E">
      <w:pPr>
        <w:pStyle w:val="Corpodetexto"/>
        <w:tabs>
          <w:tab w:val="left" w:pos="1134"/>
        </w:tabs>
        <w:spacing w:line="276" w:lineRule="auto"/>
        <w:jc w:val="both"/>
        <w:rPr>
          <w:color w:val="000000"/>
          <w:sz w:val="16"/>
          <w:lang w:val="pt-BR"/>
        </w:rPr>
      </w:pPr>
      <w:r w:rsidRPr="003779C6">
        <w:rPr>
          <w:color w:val="000000"/>
          <w:sz w:val="16"/>
          <w:lang w:val="pt-BR"/>
        </w:rPr>
        <w:t xml:space="preserve">*n = Número de participantes; </w:t>
      </w:r>
      <w:r w:rsidRPr="003779C6">
        <w:rPr>
          <w:b/>
          <w:bCs/>
          <w:color w:val="000000"/>
          <w:sz w:val="16"/>
          <w:vertAlign w:val="superscript"/>
          <w:lang w:val="pt-BR"/>
        </w:rPr>
        <w:t>†</w:t>
      </w:r>
      <w:r w:rsidRPr="003779C6">
        <w:rPr>
          <w:color w:val="000000"/>
          <w:sz w:val="16"/>
          <w:lang w:val="pt-BR"/>
        </w:rPr>
        <w:t xml:space="preserve">I = Inadequado; </w:t>
      </w:r>
      <w:r w:rsidRPr="003779C6">
        <w:rPr>
          <w:color w:val="000000"/>
          <w:sz w:val="16"/>
          <w:vertAlign w:val="superscript"/>
          <w:lang w:val="pt-BR"/>
        </w:rPr>
        <w:t>‡</w:t>
      </w:r>
      <w:r w:rsidRPr="003779C6">
        <w:rPr>
          <w:color w:val="000000"/>
          <w:sz w:val="16"/>
          <w:lang w:val="pt-BR"/>
        </w:rPr>
        <w:t xml:space="preserve">PA = Parcialmente Adequado; </w:t>
      </w:r>
      <w:r w:rsidRPr="003779C6">
        <w:rPr>
          <w:color w:val="000000"/>
          <w:sz w:val="16"/>
          <w:vertAlign w:val="superscript"/>
          <w:lang w:val="pt-BR"/>
        </w:rPr>
        <w:t>§</w:t>
      </w:r>
      <w:r w:rsidRPr="003779C6">
        <w:rPr>
          <w:color w:val="000000"/>
          <w:sz w:val="16"/>
          <w:lang w:val="pt-BR"/>
        </w:rPr>
        <w:t xml:space="preserve">A = Adequado; </w:t>
      </w:r>
      <w:r w:rsidRPr="003779C6">
        <w:rPr>
          <w:color w:val="000000"/>
          <w:sz w:val="16"/>
          <w:vertAlign w:val="superscript"/>
          <w:lang w:val="pt-BR"/>
        </w:rPr>
        <w:t>||</w:t>
      </w:r>
      <w:r w:rsidRPr="003779C6">
        <w:rPr>
          <w:color w:val="000000"/>
          <w:sz w:val="16"/>
          <w:lang w:val="pt-BR"/>
        </w:rPr>
        <w:t xml:space="preserve">SRIS = Síndrome da Resposta Inflamatória Sistêmica; </w:t>
      </w:r>
      <w:r w:rsidRPr="003779C6">
        <w:rPr>
          <w:color w:val="000000"/>
          <w:sz w:val="16"/>
          <w:vertAlign w:val="superscript"/>
          <w:lang w:val="pt-BR"/>
        </w:rPr>
        <w:t>¶</w:t>
      </w:r>
      <w:proofErr w:type="spellStart"/>
      <w:r w:rsidRPr="003779C6">
        <w:rPr>
          <w:color w:val="000000"/>
          <w:sz w:val="16"/>
          <w:lang w:val="pt-BR"/>
        </w:rPr>
        <w:t>qSOFA</w:t>
      </w:r>
      <w:proofErr w:type="spellEnd"/>
      <w:r w:rsidRPr="003779C6">
        <w:rPr>
          <w:color w:val="000000"/>
          <w:sz w:val="16"/>
          <w:lang w:val="pt-BR"/>
        </w:rPr>
        <w:t xml:space="preserve"> = </w:t>
      </w:r>
      <w:bookmarkStart w:id="5" w:name="_Hlk180755644"/>
      <w:proofErr w:type="spellStart"/>
      <w:r w:rsidRPr="00DB3962">
        <w:rPr>
          <w:color w:val="000000"/>
          <w:sz w:val="16"/>
          <w:lang w:val="pt-BR"/>
        </w:rPr>
        <w:t>quick</w:t>
      </w:r>
      <w:proofErr w:type="spellEnd"/>
      <w:r w:rsidRPr="003779C6">
        <w:rPr>
          <w:color w:val="000000"/>
          <w:sz w:val="16"/>
          <w:lang w:val="pt-BR"/>
        </w:rPr>
        <w:t xml:space="preserve"> </w:t>
      </w:r>
      <w:proofErr w:type="spellStart"/>
      <w:r w:rsidRPr="003779C6">
        <w:rPr>
          <w:color w:val="000000"/>
          <w:sz w:val="16"/>
          <w:lang w:val="pt-BR"/>
        </w:rPr>
        <w:t>Sequential</w:t>
      </w:r>
      <w:proofErr w:type="spellEnd"/>
      <w:r w:rsidRPr="003779C6">
        <w:rPr>
          <w:color w:val="000000"/>
          <w:sz w:val="16"/>
          <w:lang w:val="pt-BR"/>
        </w:rPr>
        <w:t xml:space="preserve"> </w:t>
      </w:r>
      <w:proofErr w:type="spellStart"/>
      <w:r w:rsidRPr="003779C6">
        <w:rPr>
          <w:color w:val="000000"/>
          <w:sz w:val="16"/>
          <w:lang w:val="pt-BR"/>
        </w:rPr>
        <w:t>Organ</w:t>
      </w:r>
      <w:proofErr w:type="spellEnd"/>
      <w:r w:rsidRPr="003779C6">
        <w:rPr>
          <w:color w:val="000000"/>
          <w:sz w:val="16"/>
          <w:lang w:val="pt-BR"/>
        </w:rPr>
        <w:t xml:space="preserve"> </w:t>
      </w:r>
      <w:proofErr w:type="spellStart"/>
      <w:r w:rsidRPr="003779C6">
        <w:rPr>
          <w:color w:val="000000"/>
          <w:sz w:val="16"/>
          <w:lang w:val="pt-BR"/>
        </w:rPr>
        <w:t>Failure</w:t>
      </w:r>
      <w:proofErr w:type="spellEnd"/>
      <w:r w:rsidRPr="003779C6">
        <w:rPr>
          <w:color w:val="000000"/>
          <w:sz w:val="16"/>
          <w:lang w:val="pt-BR"/>
        </w:rPr>
        <w:t xml:space="preserve"> </w:t>
      </w:r>
      <w:proofErr w:type="spellStart"/>
      <w:r w:rsidRPr="003779C6">
        <w:rPr>
          <w:color w:val="000000"/>
          <w:sz w:val="16"/>
          <w:lang w:val="pt-BR"/>
        </w:rPr>
        <w:t>Assessment</w:t>
      </w:r>
      <w:proofErr w:type="spellEnd"/>
    </w:p>
    <w:bookmarkEnd w:id="5"/>
    <w:p w:rsidR="00005B7E" w:rsidRPr="003779C6" w:rsidRDefault="00005B7E" w:rsidP="0001440E">
      <w:pPr>
        <w:pStyle w:val="Corpodetexto"/>
        <w:spacing w:line="276" w:lineRule="auto"/>
        <w:ind w:firstLine="1134"/>
        <w:jc w:val="both"/>
        <w:rPr>
          <w:lang w:val="pt-BR"/>
        </w:rPr>
      </w:pP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779C6">
        <w:rPr>
          <w:rFonts w:ascii="Times New Roman" w:hAnsi="Times New Roman"/>
          <w:color w:val="000000"/>
          <w:sz w:val="24"/>
          <w:szCs w:val="24"/>
        </w:rPr>
        <w:t xml:space="preserve">A média do somatório obtido no </w:t>
      </w:r>
      <w:proofErr w:type="spellStart"/>
      <w:r w:rsidRPr="003779C6">
        <w:rPr>
          <w:rFonts w:ascii="Times New Roman" w:hAnsi="Times New Roman"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 de avaliação da simulação clínica</w:t>
      </w:r>
      <w:r w:rsidR="00851CFD" w:rsidRPr="003779C6">
        <w:rPr>
          <w:rFonts w:ascii="Times New Roman" w:hAnsi="Times New Roman"/>
          <w:color w:val="000000"/>
          <w:sz w:val="24"/>
          <w:szCs w:val="24"/>
        </w:rPr>
        <w:t>,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 no período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pré-</w:t>
      </w:r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="00851CFD" w:rsidRPr="003779C6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 foi de 11,45 (±3,85) pontos, enquanto no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pós-</w:t>
      </w:r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 foi de 14,80 (±1,79)</w:t>
      </w:r>
      <w:r w:rsidR="00851CFD" w:rsidRPr="003779C6">
        <w:rPr>
          <w:rFonts w:ascii="Times New Roman" w:hAnsi="Times New Roman"/>
          <w:color w:val="000000"/>
          <w:sz w:val="24"/>
          <w:szCs w:val="24"/>
        </w:rPr>
        <w:t>. Essa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 diferença </w:t>
      </w:r>
      <w:r w:rsidR="00851CFD" w:rsidRPr="003779C6">
        <w:rPr>
          <w:rFonts w:ascii="Times New Roman" w:hAnsi="Times New Roman"/>
          <w:color w:val="000000"/>
          <w:sz w:val="24"/>
          <w:szCs w:val="24"/>
        </w:rPr>
        <w:t xml:space="preserve">é 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estatisticamente significativa (p=0,002), indicando um efeito grande. </w:t>
      </w:r>
      <w:r w:rsidR="00851CFD" w:rsidRPr="003779C6">
        <w:rPr>
          <w:rFonts w:ascii="Times New Roman" w:hAnsi="Times New Roman"/>
          <w:color w:val="000000"/>
          <w:sz w:val="24"/>
          <w:szCs w:val="24"/>
        </w:rPr>
        <w:t>Dessa forma, observ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a-se que a distribuição dos escores foi superior no período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pós-</w:t>
      </w:r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>.</w:t>
      </w:r>
    </w:p>
    <w:p w:rsidR="00005B7E" w:rsidRPr="003779C6" w:rsidRDefault="00005B7E" w:rsidP="0001440E">
      <w:pPr>
        <w:pStyle w:val="Corpodetexto"/>
        <w:spacing w:line="276" w:lineRule="auto"/>
        <w:ind w:firstLine="1134"/>
        <w:jc w:val="both"/>
        <w:rPr>
          <w:lang w:val="pt-BR"/>
        </w:rPr>
      </w:pPr>
    </w:p>
    <w:p w:rsidR="00005B7E" w:rsidRPr="003779C6" w:rsidRDefault="00005B7E" w:rsidP="00D1415A">
      <w:pPr>
        <w:pStyle w:val="Corpodetexto"/>
        <w:tabs>
          <w:tab w:val="left" w:pos="1134"/>
        </w:tabs>
        <w:ind w:left="-142"/>
        <w:jc w:val="both"/>
        <w:rPr>
          <w:bCs/>
          <w:lang w:val="pt-BR"/>
        </w:rPr>
      </w:pPr>
      <w:r w:rsidRPr="003779C6">
        <w:rPr>
          <w:bCs/>
          <w:lang w:val="pt-BR"/>
        </w:rPr>
        <w:t xml:space="preserve">Tabela 3 - Somatório dos escores, obtidos no </w:t>
      </w:r>
      <w:proofErr w:type="spellStart"/>
      <w:r w:rsidRPr="003779C6">
        <w:rPr>
          <w:bCs/>
          <w:i/>
          <w:lang w:val="pt-BR"/>
        </w:rPr>
        <w:t>checklist</w:t>
      </w:r>
      <w:proofErr w:type="spellEnd"/>
      <w:r w:rsidRPr="003779C6">
        <w:rPr>
          <w:bCs/>
          <w:lang w:val="pt-BR"/>
        </w:rPr>
        <w:t xml:space="preserve"> de avaliação da simulação clínica, nos períodos pré e </w:t>
      </w:r>
      <w:proofErr w:type="spellStart"/>
      <w:r w:rsidRPr="003779C6">
        <w:rPr>
          <w:bCs/>
          <w:lang w:val="pt-BR"/>
        </w:rPr>
        <w:t>pós-</w:t>
      </w:r>
      <w:r w:rsidRPr="003779C6">
        <w:rPr>
          <w:bCs/>
          <w:i/>
          <w:iCs/>
          <w:lang w:val="pt-BR"/>
        </w:rPr>
        <w:t>debriefing</w:t>
      </w:r>
      <w:proofErr w:type="spellEnd"/>
      <w:r w:rsidRPr="003779C6">
        <w:rPr>
          <w:bCs/>
          <w:lang w:val="pt-BR"/>
        </w:rPr>
        <w:t>. Juiz de Fora, MG, Brasil, 2023. (n=20).</w:t>
      </w:r>
    </w:p>
    <w:p w:rsidR="00005B7E" w:rsidRPr="003779C6" w:rsidRDefault="00005B7E" w:rsidP="00D1415A">
      <w:pPr>
        <w:pStyle w:val="Corpodetexto"/>
        <w:ind w:firstLine="1134"/>
        <w:jc w:val="both"/>
        <w:rPr>
          <w:lang w:val="pt-BR"/>
        </w:rPr>
      </w:pPr>
    </w:p>
    <w:tbl>
      <w:tblPr>
        <w:tblW w:w="0" w:type="auto"/>
        <w:jc w:val="center"/>
        <w:tblLook w:val="04A0"/>
      </w:tblPr>
      <w:tblGrid>
        <w:gridCol w:w="1973"/>
        <w:gridCol w:w="2028"/>
        <w:gridCol w:w="825"/>
        <w:gridCol w:w="1654"/>
        <w:gridCol w:w="1155"/>
        <w:gridCol w:w="1088"/>
      </w:tblGrid>
      <w:tr w:rsidR="00005B7E" w:rsidRPr="003779C6" w:rsidTr="00005B7E">
        <w:trPr>
          <w:trHeight w:val="588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Período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Distribuição dos escores no </w:t>
            </w:r>
            <w:proofErr w:type="spellStart"/>
            <w:r w:rsidRPr="003779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checklist</w:t>
            </w:r>
            <w:proofErr w:type="spellEnd"/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B7E" w:rsidRPr="003779C6" w:rsidTr="00005B7E">
        <w:trPr>
          <w:trHeight w:val="540"/>
          <w:jc w:val="center"/>
        </w:trPr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Média (IC 95%*)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±DP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Mínimo/ Máximo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Valor p</w:t>
            </w:r>
            <w:r w:rsidRPr="003779C6">
              <w:rPr>
                <w:rFonts w:ascii="Times New Roman" w:hAnsi="Times New Roman"/>
                <w:position w:val="9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TE</w:t>
            </w:r>
            <w:r w:rsidRPr="003779C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§ </w:t>
            </w:r>
          </w:p>
        </w:tc>
      </w:tr>
      <w:tr w:rsidR="00005B7E" w:rsidRPr="003779C6" w:rsidTr="00005B7E">
        <w:trPr>
          <w:trHeight w:val="454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sz w:val="24"/>
                <w:szCs w:val="24"/>
              </w:rPr>
              <w:lastRenderedPageBreak/>
              <w:t>Pré-</w:t>
            </w:r>
            <w:r w:rsidRPr="003779C6">
              <w:rPr>
                <w:rFonts w:ascii="Times New Roman" w:hAnsi="Times New Roman"/>
                <w:i/>
                <w:iCs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11,45 (9,64; 13,25)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0/ 16,5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005B7E" w:rsidRPr="003779C6" w:rsidTr="00005B7E">
        <w:trPr>
          <w:trHeight w:val="454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sz w:val="24"/>
                <w:szCs w:val="24"/>
              </w:rPr>
              <w:t>Pós-</w:t>
            </w:r>
            <w:r w:rsidRPr="003779C6">
              <w:rPr>
                <w:rFonts w:ascii="Times New Roman" w:hAnsi="Times New Roman"/>
                <w:i/>
                <w:iCs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14,80 (13,96; 15,63)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11,6/ 17,5</w:t>
            </w: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05B7E" w:rsidRPr="003779C6" w:rsidRDefault="00005B7E" w:rsidP="00005B7E">
      <w:pPr>
        <w:tabs>
          <w:tab w:val="left" w:pos="1134"/>
        </w:tabs>
        <w:jc w:val="both"/>
        <w:rPr>
          <w:rFonts w:ascii="Times New Roman" w:hAnsi="Times New Roman"/>
          <w:sz w:val="16"/>
          <w:szCs w:val="24"/>
        </w:rPr>
      </w:pPr>
      <w:r w:rsidRPr="003779C6">
        <w:rPr>
          <w:rFonts w:ascii="Times New Roman" w:hAnsi="Times New Roman"/>
          <w:sz w:val="16"/>
          <w:szCs w:val="24"/>
        </w:rPr>
        <w:t xml:space="preserve">*IC 95% = Intervalo de Confiança; </w:t>
      </w:r>
      <w:r w:rsidRPr="003779C6">
        <w:rPr>
          <w:rFonts w:ascii="Times New Roman" w:hAnsi="Times New Roman"/>
          <w:sz w:val="16"/>
          <w:szCs w:val="24"/>
          <w:vertAlign w:val="superscript"/>
        </w:rPr>
        <w:t>†</w:t>
      </w:r>
      <w:r w:rsidRPr="003779C6">
        <w:rPr>
          <w:rFonts w:ascii="Times New Roman" w:hAnsi="Times New Roman"/>
          <w:sz w:val="16"/>
          <w:szCs w:val="24"/>
        </w:rPr>
        <w:t xml:space="preserve">DP = Desvio-Padrão; </w:t>
      </w:r>
      <w:r w:rsidRPr="003779C6">
        <w:rPr>
          <w:rFonts w:ascii="Times New Roman" w:hAnsi="Times New Roman"/>
          <w:position w:val="9"/>
          <w:sz w:val="16"/>
          <w:szCs w:val="24"/>
          <w:vertAlign w:val="superscript"/>
        </w:rPr>
        <w:t>‡</w:t>
      </w:r>
      <w:r w:rsidRPr="003779C6">
        <w:rPr>
          <w:rFonts w:ascii="Times New Roman" w:hAnsi="Times New Roman"/>
          <w:sz w:val="16"/>
          <w:szCs w:val="24"/>
        </w:rPr>
        <w:t xml:space="preserve">Teste de </w:t>
      </w:r>
      <w:proofErr w:type="spellStart"/>
      <w:r w:rsidRPr="003779C6">
        <w:rPr>
          <w:rFonts w:ascii="Times New Roman" w:hAnsi="Times New Roman"/>
          <w:sz w:val="16"/>
          <w:szCs w:val="24"/>
        </w:rPr>
        <w:t>Wilcoxon</w:t>
      </w:r>
      <w:proofErr w:type="spellEnd"/>
      <w:r w:rsidRPr="003779C6">
        <w:rPr>
          <w:rFonts w:ascii="Times New Roman" w:hAnsi="Times New Roman"/>
          <w:sz w:val="16"/>
          <w:szCs w:val="24"/>
        </w:rPr>
        <w:t xml:space="preserve"> para amostras pareadas; </w:t>
      </w:r>
      <w:r w:rsidRPr="003779C6">
        <w:rPr>
          <w:rFonts w:ascii="Times New Roman" w:hAnsi="Times New Roman"/>
          <w:sz w:val="16"/>
          <w:szCs w:val="24"/>
          <w:vertAlign w:val="superscript"/>
        </w:rPr>
        <w:t>§</w:t>
      </w:r>
      <w:r w:rsidRPr="003779C6">
        <w:rPr>
          <w:rFonts w:ascii="Times New Roman" w:hAnsi="Times New Roman"/>
          <w:b/>
          <w:bCs/>
          <w:sz w:val="16"/>
          <w:szCs w:val="24"/>
          <w:vertAlign w:val="superscript"/>
        </w:rPr>
        <w:t xml:space="preserve"> </w:t>
      </w:r>
      <w:r w:rsidRPr="003779C6">
        <w:rPr>
          <w:rFonts w:ascii="Times New Roman" w:hAnsi="Times New Roman"/>
          <w:sz w:val="16"/>
          <w:szCs w:val="24"/>
        </w:rPr>
        <w:t xml:space="preserve">TE = tamanho de efeito 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3779C6">
        <w:rPr>
          <w:rFonts w:ascii="Times New Roman" w:hAnsi="Times New Roman"/>
          <w:color w:val="000000"/>
          <w:sz w:val="24"/>
          <w:szCs w:val="24"/>
        </w:rPr>
        <w:t xml:space="preserve">Na avaliação global do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checklis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 (tabela 4), durante o período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pré-</w:t>
      </w:r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>, 10% dos participantes apresentaram avaliação inadequada (&lt;50% de aproveitamento), 40% avaliação minimamente adequada (50</w:t>
      </w:r>
      <w:r w:rsidR="00EB32B0">
        <w:rPr>
          <w:rFonts w:ascii="Times New Roman" w:hAnsi="Times New Roman"/>
          <w:color w:val="000000"/>
          <w:sz w:val="24"/>
          <w:szCs w:val="24"/>
        </w:rPr>
        <w:t>–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70%) e 50% atingiram uma avaliação adequada (&gt;70%). No período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pós-</w:t>
      </w:r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>, nenhum participante obteve avaliação inadequada, 15% tiveram avaliação minimamente adequada e 85% atingiram o nível adequado. Houve diferença estatisticamente significativa (p=0,048).</w:t>
      </w:r>
    </w:p>
    <w:p w:rsidR="00005B7E" w:rsidRPr="003779C6" w:rsidRDefault="00005B7E" w:rsidP="0001440E">
      <w:pPr>
        <w:pStyle w:val="Corpodetexto"/>
        <w:spacing w:line="276" w:lineRule="auto"/>
        <w:ind w:firstLine="1134"/>
        <w:jc w:val="both"/>
        <w:rPr>
          <w:lang w:val="pt-BR"/>
        </w:rPr>
      </w:pPr>
    </w:p>
    <w:p w:rsidR="00005B7E" w:rsidRPr="003779C6" w:rsidRDefault="00005B7E" w:rsidP="00D1415A">
      <w:pPr>
        <w:tabs>
          <w:tab w:val="left" w:pos="1134"/>
        </w:tabs>
        <w:spacing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3779C6">
        <w:rPr>
          <w:rFonts w:ascii="Times New Roman" w:hAnsi="Times New Roman"/>
          <w:bCs/>
          <w:sz w:val="24"/>
          <w:szCs w:val="24"/>
        </w:rPr>
        <w:t xml:space="preserve">Tabela 4 - Avaliação global no </w:t>
      </w:r>
      <w:proofErr w:type="spellStart"/>
      <w:r w:rsidRPr="003779C6">
        <w:rPr>
          <w:rFonts w:ascii="Times New Roman" w:hAnsi="Times New Roman"/>
          <w:bCs/>
          <w:sz w:val="24"/>
          <w:szCs w:val="24"/>
        </w:rPr>
        <w:t>checklist</w:t>
      </w:r>
      <w:proofErr w:type="spellEnd"/>
      <w:r w:rsidRPr="003779C6">
        <w:rPr>
          <w:rFonts w:ascii="Times New Roman" w:hAnsi="Times New Roman"/>
          <w:bCs/>
          <w:sz w:val="24"/>
          <w:szCs w:val="24"/>
        </w:rPr>
        <w:t xml:space="preserve"> de habilidades na simulação clínica, nos períodos pré e </w:t>
      </w:r>
      <w:proofErr w:type="spellStart"/>
      <w:r w:rsidRPr="003779C6">
        <w:rPr>
          <w:rFonts w:ascii="Times New Roman" w:hAnsi="Times New Roman"/>
          <w:bCs/>
          <w:sz w:val="24"/>
          <w:szCs w:val="24"/>
        </w:rPr>
        <w:t>pós-</w:t>
      </w:r>
      <w:r w:rsidRPr="003779C6">
        <w:rPr>
          <w:rFonts w:ascii="Times New Roman" w:hAnsi="Times New Roman"/>
          <w:bCs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bCs/>
          <w:sz w:val="24"/>
          <w:szCs w:val="24"/>
        </w:rPr>
        <w:t>. Juiz de Fora, MG, Brasil, 2023. (n=20).</w:t>
      </w:r>
    </w:p>
    <w:p w:rsidR="00005B7E" w:rsidRPr="003779C6" w:rsidRDefault="00005B7E" w:rsidP="0001440E">
      <w:pPr>
        <w:pStyle w:val="Corpodetexto"/>
        <w:spacing w:line="276" w:lineRule="auto"/>
        <w:ind w:firstLine="1134"/>
        <w:jc w:val="both"/>
        <w:rPr>
          <w:lang w:val="pt-BR"/>
        </w:rPr>
      </w:pPr>
    </w:p>
    <w:tbl>
      <w:tblPr>
        <w:tblW w:w="0" w:type="auto"/>
        <w:jc w:val="center"/>
        <w:tblLook w:val="04A0"/>
      </w:tblPr>
      <w:tblGrid>
        <w:gridCol w:w="1746"/>
        <w:gridCol w:w="1015"/>
        <w:gridCol w:w="950"/>
        <w:gridCol w:w="1042"/>
        <w:gridCol w:w="1088"/>
        <w:gridCol w:w="797"/>
        <w:gridCol w:w="1056"/>
        <w:gridCol w:w="1029"/>
      </w:tblGrid>
      <w:tr w:rsidR="00005B7E" w:rsidRPr="003779C6" w:rsidTr="007F7090">
        <w:trPr>
          <w:trHeight w:val="47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61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Avaliação global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Valor</w:t>
            </w:r>
          </w:p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de p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§</w:t>
            </w:r>
          </w:p>
        </w:tc>
      </w:tr>
      <w:tr w:rsidR="00005B7E" w:rsidRPr="003779C6" w:rsidTr="007F7090">
        <w:trPr>
          <w:trHeight w:val="982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Inadequado*</w:t>
            </w:r>
          </w:p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Minimamente adequado</w:t>
            </w:r>
            <w:r w:rsidRPr="003779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Adequado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0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B7E" w:rsidRPr="003779C6" w:rsidTr="007F7090">
        <w:trPr>
          <w:trHeight w:val="397"/>
          <w:jc w:val="center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||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||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3779C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||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9C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B7E" w:rsidRPr="003779C6" w:rsidTr="007F7090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sz w:val="24"/>
                <w:szCs w:val="24"/>
              </w:rPr>
              <w:t>Pré-</w:t>
            </w:r>
            <w:r w:rsidRPr="003779C6">
              <w:rPr>
                <w:rFonts w:ascii="Times New Roman" w:hAnsi="Times New Roman"/>
                <w:i/>
                <w:iCs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</w:tr>
      <w:tr w:rsidR="00005B7E" w:rsidRPr="003779C6" w:rsidTr="007F7090">
        <w:trPr>
          <w:trHeight w:val="454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779C6">
              <w:rPr>
                <w:rFonts w:ascii="Times New Roman" w:hAnsi="Times New Roman"/>
                <w:sz w:val="24"/>
                <w:szCs w:val="24"/>
              </w:rPr>
              <w:t>Pós-</w:t>
            </w:r>
            <w:r w:rsidRPr="003779C6">
              <w:rPr>
                <w:rFonts w:ascii="Times New Roman" w:hAnsi="Times New Roman"/>
                <w:i/>
                <w:iCs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80758297"/>
            <w:r w:rsidRPr="003779C6">
              <w:rPr>
                <w:rFonts w:ascii="Times New Roman" w:hAnsi="Times New Roman"/>
                <w:sz w:val="24"/>
                <w:szCs w:val="24"/>
              </w:rPr>
              <w:t>15,0</w:t>
            </w:r>
            <w:bookmarkEnd w:id="6"/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C6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005B7E" w:rsidRPr="003779C6" w:rsidRDefault="00005B7E" w:rsidP="007F70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05B7E" w:rsidRPr="003779C6" w:rsidRDefault="00005B7E" w:rsidP="00005B7E">
      <w:pPr>
        <w:pStyle w:val="Corpodetexto"/>
        <w:tabs>
          <w:tab w:val="left" w:pos="1134"/>
        </w:tabs>
        <w:spacing w:line="276" w:lineRule="auto"/>
        <w:jc w:val="both"/>
        <w:rPr>
          <w:sz w:val="20"/>
          <w:lang w:val="pt-BR"/>
        </w:rPr>
      </w:pPr>
      <w:r w:rsidRPr="003779C6">
        <w:rPr>
          <w:sz w:val="20"/>
          <w:lang w:val="pt-BR"/>
        </w:rPr>
        <w:t xml:space="preserve">*Inadequado= menos de 50% de aproveitamento; </w:t>
      </w:r>
      <w:r w:rsidRPr="003779C6">
        <w:rPr>
          <w:sz w:val="20"/>
          <w:vertAlign w:val="superscript"/>
          <w:lang w:val="pt-BR"/>
        </w:rPr>
        <w:t>†</w:t>
      </w:r>
      <w:r w:rsidRPr="003779C6">
        <w:rPr>
          <w:sz w:val="20"/>
          <w:lang w:val="pt-BR"/>
        </w:rPr>
        <w:t xml:space="preserve">Minimamente adequado= entre 50% e 70% de aproveitamento; </w:t>
      </w:r>
      <w:r w:rsidRPr="003779C6">
        <w:rPr>
          <w:sz w:val="20"/>
          <w:vertAlign w:val="superscript"/>
          <w:lang w:val="pt-BR"/>
        </w:rPr>
        <w:t xml:space="preserve">‡ </w:t>
      </w:r>
      <w:r w:rsidRPr="003779C6">
        <w:rPr>
          <w:sz w:val="20"/>
          <w:lang w:val="pt-BR"/>
        </w:rPr>
        <w:t xml:space="preserve">Adequado = mais de 70% de aproveitamento; </w:t>
      </w:r>
      <w:r w:rsidRPr="003779C6">
        <w:rPr>
          <w:sz w:val="20"/>
          <w:vertAlign w:val="superscript"/>
          <w:lang w:val="pt-BR"/>
        </w:rPr>
        <w:t>§</w:t>
      </w:r>
      <w:r w:rsidRPr="003779C6">
        <w:rPr>
          <w:sz w:val="20"/>
          <w:lang w:val="pt-BR"/>
        </w:rPr>
        <w:t xml:space="preserve">Valor de p=Teste de </w:t>
      </w:r>
      <w:proofErr w:type="spellStart"/>
      <w:r w:rsidRPr="003779C6">
        <w:rPr>
          <w:sz w:val="20"/>
          <w:lang w:val="pt-BR"/>
        </w:rPr>
        <w:t>McNemar</w:t>
      </w:r>
      <w:proofErr w:type="spellEnd"/>
      <w:r w:rsidRPr="003779C6">
        <w:rPr>
          <w:sz w:val="20"/>
          <w:lang w:val="pt-BR"/>
        </w:rPr>
        <w:t xml:space="preserve"> para dados pareados de proporção; </w:t>
      </w:r>
      <w:r w:rsidRPr="003779C6">
        <w:rPr>
          <w:sz w:val="20"/>
          <w:vertAlign w:val="superscript"/>
          <w:lang w:val="pt-BR"/>
        </w:rPr>
        <w:t>||</w:t>
      </w:r>
      <w:r w:rsidRPr="003779C6">
        <w:rPr>
          <w:sz w:val="20"/>
          <w:lang w:val="pt-BR"/>
        </w:rPr>
        <w:t>n= número de participantes</w:t>
      </w:r>
    </w:p>
    <w:p w:rsidR="00005B7E" w:rsidRPr="003779C6" w:rsidRDefault="00005B7E" w:rsidP="00005B7E">
      <w:pPr>
        <w:pStyle w:val="Corpodetexto"/>
        <w:tabs>
          <w:tab w:val="left" w:pos="1134"/>
        </w:tabs>
        <w:spacing w:line="276" w:lineRule="auto"/>
        <w:ind w:firstLine="1134"/>
        <w:jc w:val="both"/>
        <w:rPr>
          <w:color w:val="000000"/>
          <w:lang w:val="pt-BR" w:eastAsia="pt-BR"/>
        </w:rPr>
      </w:pPr>
    </w:p>
    <w:p w:rsidR="00005B7E" w:rsidRPr="003779C6" w:rsidRDefault="00005B7E" w:rsidP="00005B7E">
      <w:pPr>
        <w:pStyle w:val="Corpodetexto"/>
        <w:tabs>
          <w:tab w:val="left" w:pos="1134"/>
        </w:tabs>
        <w:spacing w:line="276" w:lineRule="auto"/>
        <w:ind w:firstLine="1134"/>
        <w:jc w:val="both"/>
        <w:rPr>
          <w:color w:val="000000"/>
          <w:lang w:val="pt-BR" w:eastAsia="pt-BR"/>
        </w:rPr>
      </w:pPr>
      <w:r w:rsidRPr="003779C6">
        <w:rPr>
          <w:color w:val="000000"/>
          <w:lang w:val="pt-BR" w:eastAsia="pt-BR"/>
        </w:rPr>
        <w:t xml:space="preserve">No presente estudo, </w:t>
      </w:r>
      <w:r w:rsidRPr="003779C6">
        <w:rPr>
          <w:color w:val="000000"/>
          <w:lang w:val="pt-BR"/>
        </w:rPr>
        <w:t xml:space="preserve">a consistência interna, do </w:t>
      </w:r>
      <w:proofErr w:type="spellStart"/>
      <w:r w:rsidRPr="003779C6">
        <w:rPr>
          <w:iCs/>
          <w:color w:val="000000"/>
          <w:lang w:val="pt-BR"/>
        </w:rPr>
        <w:t>checklist</w:t>
      </w:r>
      <w:proofErr w:type="spellEnd"/>
      <w:r w:rsidRPr="003779C6">
        <w:rPr>
          <w:color w:val="000000"/>
          <w:lang w:val="pt-BR"/>
        </w:rPr>
        <w:t xml:space="preserve"> de avaliação da simulação clínica, apresentou um alfa de </w:t>
      </w:r>
      <w:proofErr w:type="spellStart"/>
      <w:r w:rsidRPr="003779C6">
        <w:rPr>
          <w:color w:val="000000"/>
          <w:lang w:val="pt-BR"/>
        </w:rPr>
        <w:t>Cronbach</w:t>
      </w:r>
      <w:proofErr w:type="spellEnd"/>
      <w:r w:rsidRPr="003779C6">
        <w:rPr>
          <w:color w:val="000000"/>
          <w:lang w:val="pt-BR"/>
        </w:rPr>
        <w:t xml:space="preserve"> de 0,889. </w:t>
      </w:r>
    </w:p>
    <w:p w:rsidR="00DD7FFD" w:rsidRPr="003779C6" w:rsidRDefault="00DD7FFD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D7FFD" w:rsidRPr="003779C6" w:rsidRDefault="007E4A06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="00546DBF"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ISCUSSÃO</w:t>
      </w:r>
    </w:p>
    <w:p w:rsidR="00D7644E" w:rsidRPr="003779C6" w:rsidRDefault="00D7644E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No presente estudo, a maioria dos participantes era composta por mulheres jovens, que não possuíam conhecimento prévio sobre os protocolos de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. Esses dados são consistentes com os resultados de outras pesquisas que utilizaram a simulação para ensinar 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a estudantes de graduação em Enfermagem</w:t>
      </w:r>
      <w:r w:rsidR="001B16D5" w:rsidRPr="003779C6">
        <w:rPr>
          <w:rFonts w:ascii="Times New Roman" w:hAnsi="Times New Roman"/>
          <w:sz w:val="24"/>
          <w:szCs w:val="24"/>
        </w:rPr>
        <w:t xml:space="preserve"> 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(12,23)</w:t>
      </w:r>
      <w:r w:rsidRPr="003779C6">
        <w:rPr>
          <w:rFonts w:ascii="Times New Roman" w:hAnsi="Times New Roman"/>
          <w:sz w:val="24"/>
          <w:szCs w:val="24"/>
        </w:rPr>
        <w:t>. Em outro estudo</w:t>
      </w:r>
      <w:r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(24) </w:t>
      </w:r>
      <w:r w:rsidRPr="00377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9C6">
        <w:rPr>
          <w:rFonts w:ascii="Times New Roman" w:hAnsi="Times New Roman"/>
          <w:sz w:val="24"/>
          <w:szCs w:val="24"/>
        </w:rPr>
        <w:t>quase-experimental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que também empregou a simulação clínica para o ensino do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verificou-se que a idade média dos participantes era de 19,18 (±1,27) anos, sendo 84,5% do sexo feminino, com conhecimento limitado sobre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Estudos</w:t>
      </w:r>
      <w:r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(25</w:t>
      </w:r>
      <w:r w:rsidR="00D1415A"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,</w:t>
      </w:r>
      <w:r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26) </w:t>
      </w:r>
      <w:r w:rsidRPr="003779C6">
        <w:rPr>
          <w:rFonts w:ascii="Times New Roman" w:hAnsi="Times New Roman"/>
          <w:sz w:val="24"/>
          <w:szCs w:val="24"/>
        </w:rPr>
        <w:t xml:space="preserve">têm identificado uma lacuna significativa no ensino sobre </w:t>
      </w:r>
      <w:proofErr w:type="spellStart"/>
      <w:r w:rsidRPr="003779C6">
        <w:rPr>
          <w:rFonts w:ascii="Times New Roman" w:hAnsi="Times New Roman"/>
          <w:sz w:val="24"/>
          <w:szCs w:val="24"/>
        </w:rPr>
        <w:lastRenderedPageBreak/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para estudantes de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nfermagem, abrangendo tanto o reconhecimento quanto a resposta a essa condição. Essa situação pode comprometer a identificação de alterações em parâmetros fisiológicos básicos, </w:t>
      </w:r>
      <w:r w:rsidR="001B16D5" w:rsidRPr="003779C6">
        <w:rPr>
          <w:rFonts w:ascii="Times New Roman" w:hAnsi="Times New Roman"/>
          <w:sz w:val="24"/>
          <w:szCs w:val="24"/>
        </w:rPr>
        <w:t>essenci</w:t>
      </w:r>
      <w:r w:rsidRPr="003779C6">
        <w:rPr>
          <w:rFonts w:ascii="Times New Roman" w:hAnsi="Times New Roman"/>
          <w:sz w:val="24"/>
          <w:szCs w:val="24"/>
        </w:rPr>
        <w:t>ais para a aplicação de ferramentas de triagem, diretrizes e protocolos clínicos. Além disso, uma pesquisa</w:t>
      </w:r>
      <w:r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(27)</w:t>
      </w:r>
      <w:r w:rsidRPr="003779C6">
        <w:rPr>
          <w:rFonts w:ascii="Times New Roman" w:hAnsi="Times New Roman"/>
          <w:sz w:val="24"/>
          <w:szCs w:val="24"/>
        </w:rPr>
        <w:t xml:space="preserve"> apontou que os serviços de saúde esperam que os enfermeiros recém-formados possuam o conhecimento e as habilidades adequadas para cuidar de pacientes com condições graves, como 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. </w:t>
      </w:r>
      <w:r w:rsidR="001B16D5" w:rsidRPr="003779C6">
        <w:rPr>
          <w:rFonts w:ascii="Times New Roman" w:hAnsi="Times New Roman"/>
          <w:sz w:val="24"/>
          <w:szCs w:val="24"/>
        </w:rPr>
        <w:t>Portant</w:t>
      </w:r>
      <w:r w:rsidRPr="003779C6">
        <w:rPr>
          <w:rFonts w:ascii="Times New Roman" w:hAnsi="Times New Roman"/>
          <w:sz w:val="24"/>
          <w:szCs w:val="24"/>
        </w:rPr>
        <w:t xml:space="preserve">o, o investimento na formação </w:t>
      </w:r>
      <w:r w:rsidR="001B16D5" w:rsidRPr="003779C6">
        <w:rPr>
          <w:rFonts w:ascii="Times New Roman" w:hAnsi="Times New Roman"/>
          <w:sz w:val="24"/>
          <w:szCs w:val="24"/>
        </w:rPr>
        <w:t>em E</w:t>
      </w:r>
      <w:r w:rsidRPr="003779C6">
        <w:rPr>
          <w:rFonts w:ascii="Times New Roman" w:hAnsi="Times New Roman"/>
          <w:sz w:val="24"/>
          <w:szCs w:val="24"/>
        </w:rPr>
        <w:t xml:space="preserve">nfermagem é indispensável para aprimorar a prevenção, o reconhecimento e 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  <w:vertAlign w:val="superscript"/>
        </w:rPr>
        <w:t>(25-27)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Um estudo</w:t>
      </w:r>
      <w:r w:rsidRPr="003779C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(28)</w:t>
      </w:r>
      <w:r w:rsidRPr="003779C6">
        <w:rPr>
          <w:rFonts w:ascii="Times New Roman" w:hAnsi="Times New Roman"/>
          <w:sz w:val="24"/>
          <w:szCs w:val="24"/>
        </w:rPr>
        <w:t xml:space="preserve"> realizado na China com 157 estudantes de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nfermagem revelou que o uso da simulação clínica como estratégia de ensino supera os métodos tradicionais, promovendo </w:t>
      </w:r>
      <w:r w:rsidR="001B16D5" w:rsidRPr="003779C6">
        <w:rPr>
          <w:rFonts w:ascii="Times New Roman" w:hAnsi="Times New Roman"/>
          <w:sz w:val="24"/>
          <w:szCs w:val="24"/>
        </w:rPr>
        <w:t>o</w:t>
      </w:r>
      <w:r w:rsidRPr="003779C6">
        <w:rPr>
          <w:rFonts w:ascii="Times New Roman" w:hAnsi="Times New Roman"/>
          <w:sz w:val="24"/>
          <w:szCs w:val="24"/>
        </w:rPr>
        <w:t xml:space="preserve"> aprimoramento das habilidades e do julgamento clínico dos alunos. Ad</w:t>
      </w:r>
      <w:r w:rsidR="001B16D5" w:rsidRPr="003779C6">
        <w:rPr>
          <w:rFonts w:ascii="Times New Roman" w:hAnsi="Times New Roman"/>
          <w:sz w:val="24"/>
          <w:szCs w:val="24"/>
        </w:rPr>
        <w:t>ema</w:t>
      </w:r>
      <w:r w:rsidRPr="003779C6">
        <w:rPr>
          <w:rFonts w:ascii="Times New Roman" w:hAnsi="Times New Roman"/>
          <w:sz w:val="24"/>
          <w:szCs w:val="24"/>
        </w:rPr>
        <w:t xml:space="preserve">is, a simulação permite que os participantes </w:t>
      </w:r>
      <w:r w:rsidR="001B16D5" w:rsidRPr="003779C6">
        <w:rPr>
          <w:rFonts w:ascii="Times New Roman" w:hAnsi="Times New Roman"/>
          <w:sz w:val="24"/>
          <w:szCs w:val="24"/>
        </w:rPr>
        <w:t>associem o</w:t>
      </w:r>
      <w:r w:rsidRPr="003779C6">
        <w:rPr>
          <w:rFonts w:ascii="Times New Roman" w:hAnsi="Times New Roman"/>
          <w:sz w:val="24"/>
          <w:szCs w:val="24"/>
        </w:rPr>
        <w:t xml:space="preserve"> conhecimento teórico aprendido às habilidades necessárias para </w:t>
      </w:r>
      <w:r w:rsidR="001B16D5" w:rsidRPr="003779C6">
        <w:rPr>
          <w:rFonts w:ascii="Times New Roman" w:hAnsi="Times New Roman"/>
          <w:sz w:val="24"/>
          <w:szCs w:val="24"/>
        </w:rPr>
        <w:t xml:space="preserve">a </w:t>
      </w:r>
      <w:r w:rsidRPr="003779C6">
        <w:rPr>
          <w:rFonts w:ascii="Times New Roman" w:hAnsi="Times New Roman"/>
          <w:sz w:val="24"/>
          <w:szCs w:val="24"/>
        </w:rPr>
        <w:t>resolução d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 problemas clínicos. 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Nesta investigação, constatou-se uma evolução significativa no conhecimento teórico global dos estudantes sobre a identificação, o tratamento e 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. Esses resultados estão alinhados com os achados de outr</w:t>
      </w:r>
      <w:r w:rsidR="001B16D5" w:rsidRPr="003779C6">
        <w:rPr>
          <w:rFonts w:ascii="Times New Roman" w:hAnsi="Times New Roman"/>
          <w:sz w:val="24"/>
          <w:szCs w:val="24"/>
        </w:rPr>
        <w:t>o estud</w:t>
      </w:r>
      <w:r w:rsidRPr="003779C6">
        <w:rPr>
          <w:rFonts w:ascii="Times New Roman" w:hAnsi="Times New Roman"/>
          <w:sz w:val="24"/>
          <w:szCs w:val="24"/>
        </w:rPr>
        <w:t>o que, ao avaliar o conhecimento de 30 enfermeiros utilizando o mesmo instrumento aplicado no presente estudo, observ</w:t>
      </w:r>
      <w:r w:rsidR="001B16D5" w:rsidRPr="003779C6">
        <w:rPr>
          <w:rFonts w:ascii="Times New Roman" w:hAnsi="Times New Roman"/>
          <w:sz w:val="24"/>
          <w:szCs w:val="24"/>
        </w:rPr>
        <w:t>ou</w:t>
      </w:r>
      <w:r w:rsidRPr="003779C6">
        <w:rPr>
          <w:rFonts w:ascii="Times New Roman" w:hAnsi="Times New Roman"/>
          <w:sz w:val="24"/>
          <w:szCs w:val="24"/>
        </w:rPr>
        <w:t xml:space="preserve"> bons resultados. </w:t>
      </w:r>
      <w:r w:rsidR="001B16D5" w:rsidRPr="003779C6">
        <w:rPr>
          <w:rFonts w:ascii="Times New Roman" w:hAnsi="Times New Roman"/>
          <w:sz w:val="24"/>
          <w:szCs w:val="24"/>
        </w:rPr>
        <w:t>F</w:t>
      </w:r>
      <w:r w:rsidRPr="003779C6">
        <w:rPr>
          <w:rFonts w:ascii="Times New Roman" w:hAnsi="Times New Roman"/>
          <w:sz w:val="24"/>
          <w:szCs w:val="24"/>
        </w:rPr>
        <w:t>oi verificado</w:t>
      </w:r>
      <w:r w:rsidR="001B16D5" w:rsidRPr="003779C6">
        <w:rPr>
          <w:rFonts w:ascii="Times New Roman" w:hAnsi="Times New Roman"/>
          <w:sz w:val="24"/>
          <w:szCs w:val="24"/>
        </w:rPr>
        <w:t xml:space="preserve"> também</w:t>
      </w:r>
      <w:r w:rsidRPr="003779C6">
        <w:rPr>
          <w:rFonts w:ascii="Times New Roman" w:hAnsi="Times New Roman"/>
          <w:sz w:val="24"/>
          <w:szCs w:val="24"/>
        </w:rPr>
        <w:t xml:space="preserve"> que os itens 08 e 06, referentes à coleta de hemoculturas e ao tempo recomendado para o início da terapia antimicrobiana, obtiveram os maiores percentuais de acerto (90% e 50%, respectivamente)</w:t>
      </w:r>
      <w:r w:rsidR="008078BF" w:rsidRPr="003779C6">
        <w:rPr>
          <w:rFonts w:ascii="Times New Roman" w:hAnsi="Times New Roman"/>
          <w:sz w:val="24"/>
          <w:szCs w:val="24"/>
          <w:vertAlign w:val="superscript"/>
        </w:rPr>
        <w:t>(21)</w:t>
      </w:r>
      <w:r w:rsidRPr="003779C6">
        <w:rPr>
          <w:rFonts w:ascii="Times New Roman" w:hAnsi="Times New Roman"/>
          <w:sz w:val="24"/>
          <w:szCs w:val="24"/>
        </w:rPr>
        <w:t xml:space="preserve">. Assim, os dados corroboram os achados desta investigação, </w:t>
      </w:r>
      <w:r w:rsidR="001B16D5" w:rsidRPr="003779C6">
        <w:rPr>
          <w:rFonts w:ascii="Times New Roman" w:hAnsi="Times New Roman"/>
          <w:sz w:val="24"/>
          <w:szCs w:val="24"/>
        </w:rPr>
        <w:t>na qual</w:t>
      </w:r>
      <w:r w:rsidRPr="003779C6">
        <w:rPr>
          <w:rFonts w:ascii="Times New Roman" w:hAnsi="Times New Roman"/>
          <w:sz w:val="24"/>
          <w:szCs w:val="24"/>
        </w:rPr>
        <w:t xml:space="preserve"> os mesmos itens também apresentaram os maiores índices de acerto.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No que diz respeito ao desempenho no cenário simulado, avaliado antes e após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os estudantes desta investigação demonstraram melhora significativa nas habilidades clínicas e no aproveitamento global, conforme mensurado pelo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checklist</w:t>
      </w:r>
      <w:proofErr w:type="spellEnd"/>
      <w:r w:rsidRPr="003779C6">
        <w:rPr>
          <w:rFonts w:ascii="Times New Roman" w:hAnsi="Times New Roman"/>
          <w:sz w:val="24"/>
          <w:szCs w:val="24"/>
        </w:rPr>
        <w:t>. Esses resultados reforçam a importância do ensino por meio d</w:t>
      </w:r>
      <w:r w:rsidR="001B16D5" w:rsidRPr="003779C6">
        <w:rPr>
          <w:rFonts w:ascii="Times New Roman" w:hAnsi="Times New Roman"/>
          <w:sz w:val="24"/>
          <w:szCs w:val="24"/>
        </w:rPr>
        <w:t>a</w:t>
      </w:r>
      <w:r w:rsidRPr="003779C6">
        <w:rPr>
          <w:rFonts w:ascii="Times New Roman" w:hAnsi="Times New Roman"/>
          <w:sz w:val="24"/>
          <w:szCs w:val="24"/>
        </w:rPr>
        <w:t xml:space="preserve"> simulação, com ênfase especial na fase de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>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Estudos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(13,16)</w:t>
      </w:r>
      <w:r w:rsidRPr="003779C6">
        <w:rPr>
          <w:rFonts w:ascii="Times New Roman" w:hAnsi="Times New Roman"/>
          <w:sz w:val="24"/>
          <w:szCs w:val="24"/>
        </w:rPr>
        <w:t xml:space="preserve"> indicam que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é, de fato, a etapa mais relevante em uma simulação clínica de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>nfermagem, sendo considerado essencial no processo reflexivo</w:t>
      </w:r>
      <w:r w:rsidRPr="003779C6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Pr="003779C6">
        <w:rPr>
          <w:rFonts w:ascii="Times New Roman" w:hAnsi="Times New Roman"/>
          <w:sz w:val="24"/>
          <w:szCs w:val="24"/>
        </w:rPr>
        <w:t>É durante essa fase que os participantes refletem sobre a experiência vivenciada, discutem os acontecimentos e aprendem tanto com os erros quanto com os acertos, de modo que, futuramente, possam aplicar esses aprendizados de forma eficaz em sua prática profissional</w:t>
      </w:r>
      <w:r w:rsidRPr="003779C6">
        <w:rPr>
          <w:rFonts w:ascii="Times New Roman" w:hAnsi="Times New Roman"/>
          <w:sz w:val="24"/>
          <w:szCs w:val="24"/>
          <w:vertAlign w:val="superscript"/>
        </w:rPr>
        <w:t>(31)</w:t>
      </w:r>
      <w:r w:rsidRPr="003779C6">
        <w:rPr>
          <w:rFonts w:ascii="Times New Roman" w:hAnsi="Times New Roman"/>
          <w:sz w:val="24"/>
          <w:szCs w:val="24"/>
        </w:rPr>
        <w:t xml:space="preserve">. Assim,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é o momento em que prática e teoria se confrontam e, em um exercício metacognitivo, o aprendizado se concretiza</w:t>
      </w:r>
      <w:r w:rsidRPr="003779C6">
        <w:rPr>
          <w:rFonts w:ascii="Times New Roman" w:hAnsi="Times New Roman"/>
          <w:sz w:val="24"/>
          <w:szCs w:val="24"/>
          <w:vertAlign w:val="superscript"/>
        </w:rPr>
        <w:t>(29)</w:t>
      </w:r>
      <w:r w:rsidRPr="003779C6">
        <w:rPr>
          <w:rFonts w:ascii="Times New Roman" w:hAnsi="Times New Roman"/>
          <w:sz w:val="24"/>
          <w:szCs w:val="24"/>
        </w:rPr>
        <w:t>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>Nesse sentido, um estudo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(30)</w:t>
      </w:r>
      <w:r w:rsidRPr="003779C6">
        <w:rPr>
          <w:rFonts w:ascii="Times New Roman" w:hAnsi="Times New Roman"/>
          <w:sz w:val="24"/>
          <w:szCs w:val="24"/>
        </w:rPr>
        <w:t xml:space="preserve"> realizado em hospital universitário na Jordânia identificou uma progressão significativa no manejo e na tomada de decisão dos enfermeiros ao abordar 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após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em um treinamento de simulação clínica. Outro estudo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(18)</w:t>
      </w:r>
      <w:r w:rsidRPr="003779C6">
        <w:rPr>
          <w:rFonts w:ascii="Times New Roman" w:hAnsi="Times New Roman"/>
          <w:sz w:val="24"/>
          <w:szCs w:val="24"/>
        </w:rPr>
        <w:t xml:space="preserve"> recrutou 120 graduandos de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nfermagem com o objetivo de comparar o desempenho clínico dos estudantes em cenários de aprendizagem com e sem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em um centro de simulação. Os resultados mostraram que 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foi eficaz, impactando significativamente o desempenho do grupo experimental em comparação ao grupo controle (p &lt; 0,001)</w:t>
      </w:r>
      <w:r w:rsidRPr="003779C6">
        <w:rPr>
          <w:rFonts w:ascii="Times New Roman" w:hAnsi="Times New Roman"/>
          <w:sz w:val="24"/>
          <w:szCs w:val="24"/>
          <w:vertAlign w:val="superscript"/>
        </w:rPr>
        <w:t>(18)</w:t>
      </w:r>
      <w:r w:rsidRPr="003779C6">
        <w:rPr>
          <w:rFonts w:ascii="Times New Roman" w:hAnsi="Times New Roman"/>
          <w:sz w:val="24"/>
          <w:szCs w:val="24"/>
        </w:rPr>
        <w:t xml:space="preserve">. 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As descobertas do presente estudo contribuem para o avanço do conhecimento em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nfermagem no ensino superior baseado em simulação, evidenciando </w:t>
      </w:r>
      <w:r w:rsidRPr="003779C6">
        <w:rPr>
          <w:rFonts w:ascii="Times New Roman" w:hAnsi="Times New Roman"/>
          <w:sz w:val="24"/>
          <w:szCs w:val="24"/>
        </w:rPr>
        <w:lastRenderedPageBreak/>
        <w:t xml:space="preserve">impacto positivo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na aquisição de conhecimentos e habilidades essenciais para o desenvolvimento de competências clínicas. </w:t>
      </w:r>
      <w:r w:rsidR="001B16D5" w:rsidRPr="003779C6">
        <w:rPr>
          <w:rFonts w:ascii="Times New Roman" w:hAnsi="Times New Roman"/>
          <w:sz w:val="24"/>
          <w:szCs w:val="24"/>
        </w:rPr>
        <w:t>Entre</w:t>
      </w:r>
      <w:r w:rsidRPr="003779C6">
        <w:rPr>
          <w:rFonts w:ascii="Times New Roman" w:hAnsi="Times New Roman"/>
          <w:sz w:val="24"/>
          <w:szCs w:val="24"/>
        </w:rPr>
        <w:t xml:space="preserve">tanto, </w:t>
      </w:r>
      <w:r w:rsidR="001B16D5" w:rsidRPr="003779C6">
        <w:rPr>
          <w:rFonts w:ascii="Times New Roman" w:hAnsi="Times New Roman"/>
          <w:sz w:val="24"/>
          <w:szCs w:val="24"/>
        </w:rPr>
        <w:t xml:space="preserve">observa-se </w:t>
      </w:r>
      <w:r w:rsidRPr="003779C6">
        <w:rPr>
          <w:rFonts w:ascii="Times New Roman" w:hAnsi="Times New Roman"/>
          <w:sz w:val="24"/>
          <w:szCs w:val="24"/>
        </w:rPr>
        <w:t xml:space="preserve">também a carência de estudos quase experimentais ou experimentais que utilizem a simulação clínica para o ensino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apesar da disponibilidade de diversos modelos e métodos de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>.</w:t>
      </w:r>
    </w:p>
    <w:p w:rsidR="00005B7E" w:rsidRPr="003779C6" w:rsidRDefault="00005B7E" w:rsidP="00005B7E">
      <w:pPr>
        <w:widowControl w:val="0"/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 xml:space="preserve">As descobertas deste estudo contribuem para o avanço do conhecimento em 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nfermagem, destacando o impacto positivo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na aquisição de conhecimentos e no aprimoramento das habilidades clínicas essenciais ao desenvolvimento de competências profissionais. Ad</w:t>
      </w:r>
      <w:r w:rsidR="001B16D5" w:rsidRPr="003779C6">
        <w:rPr>
          <w:rFonts w:ascii="Times New Roman" w:hAnsi="Times New Roman"/>
          <w:sz w:val="24"/>
          <w:szCs w:val="24"/>
        </w:rPr>
        <w:t>ema</w:t>
      </w:r>
      <w:r w:rsidRPr="003779C6">
        <w:rPr>
          <w:rFonts w:ascii="Times New Roman" w:hAnsi="Times New Roman"/>
          <w:sz w:val="24"/>
          <w:szCs w:val="24"/>
        </w:rPr>
        <w:t>is, os resultados reforçam a importância da simulação como estratégia de ensino, demonstrando seu potencial para a consolidação do aprendizado e a melhor</w:t>
      </w:r>
      <w:r w:rsidR="001B16D5" w:rsidRPr="003779C6">
        <w:rPr>
          <w:rFonts w:ascii="Times New Roman" w:hAnsi="Times New Roman"/>
          <w:sz w:val="24"/>
          <w:szCs w:val="24"/>
        </w:rPr>
        <w:t>ia d</w:t>
      </w:r>
      <w:r w:rsidRPr="003779C6">
        <w:rPr>
          <w:rFonts w:ascii="Times New Roman" w:hAnsi="Times New Roman"/>
          <w:sz w:val="24"/>
          <w:szCs w:val="24"/>
        </w:rPr>
        <w:t>o desempenho dos estudantes. No entanto, observou-se uma escassez de estudos quase</w:t>
      </w:r>
      <w:r w:rsidR="001B16D5" w:rsidRPr="003779C6">
        <w:rPr>
          <w:rFonts w:ascii="Times New Roman" w:hAnsi="Times New Roman"/>
          <w:sz w:val="24"/>
          <w:szCs w:val="24"/>
        </w:rPr>
        <w:t xml:space="preserve"> </w:t>
      </w:r>
      <w:r w:rsidRPr="003779C6">
        <w:rPr>
          <w:rFonts w:ascii="Times New Roman" w:hAnsi="Times New Roman"/>
          <w:sz w:val="24"/>
          <w:szCs w:val="24"/>
        </w:rPr>
        <w:t xml:space="preserve">experimentais ou experimentais que explorem a utilização da simulação clínica no ensino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apesar da existência de diversos modelos e métodos de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. Dessa forma, este estudo evidencia a necessidade de investigações futuras que aprofundem o papel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na otimização do aprendizado e na formação de enfermeiros mais preparados para o reconhecimento e manejo dessa condição.</w:t>
      </w:r>
    </w:p>
    <w:p w:rsidR="00005B7E" w:rsidRPr="003779C6" w:rsidRDefault="00005B7E" w:rsidP="00005B7E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ab/>
        <w:t xml:space="preserve">Entre as limitações deste estudo, destaca-se a ausência da aplicação do teste de conhecimento teórico imediatamente após a simulação, antes da realização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o que impossibilita a mensuração isolada do impacto do cenário simulado sem a influência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>. A</w:t>
      </w:r>
      <w:r w:rsidR="001B16D5" w:rsidRPr="003779C6">
        <w:rPr>
          <w:rFonts w:ascii="Times New Roman" w:hAnsi="Times New Roman"/>
          <w:sz w:val="24"/>
          <w:szCs w:val="24"/>
        </w:rPr>
        <w:t>demais</w:t>
      </w:r>
      <w:r w:rsidRPr="003779C6">
        <w:rPr>
          <w:rFonts w:ascii="Times New Roman" w:hAnsi="Times New Roman"/>
          <w:sz w:val="24"/>
          <w:szCs w:val="24"/>
        </w:rPr>
        <w:t>, o número reduzido de participantes limita a generalização dos resultados, restringindo a aplicabilidade dos achados a contextos semelhantes.</w:t>
      </w:r>
    </w:p>
    <w:p w:rsidR="00005B7E" w:rsidRPr="003779C6" w:rsidRDefault="00005B7E" w:rsidP="00005B7E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3779C6">
        <w:rPr>
          <w:rFonts w:ascii="Times New Roman" w:hAnsi="Times New Roman"/>
          <w:sz w:val="24"/>
          <w:szCs w:val="24"/>
        </w:rPr>
        <w:tab/>
        <w:t xml:space="preserve">Apesar dessas limitações, as contribuições do estudo para a área da Enfermagem são relevantes ao evidenciar o potencial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, associado à simulação clínica, como estratégia pedagógica para o ensino do manejo da </w:t>
      </w:r>
      <w:proofErr w:type="spellStart"/>
      <w:r w:rsidRPr="003779C6">
        <w:rPr>
          <w:rFonts w:ascii="Times New Roman" w:hAnsi="Times New Roman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sz w:val="24"/>
          <w:szCs w:val="24"/>
        </w:rPr>
        <w:t>. Os resultados reforçam a importância da inserção de metodologias ativas nos currículos d</w:t>
      </w:r>
      <w:r w:rsidR="001B16D5" w:rsidRPr="003779C6">
        <w:rPr>
          <w:rFonts w:ascii="Times New Roman" w:hAnsi="Times New Roman"/>
          <w:sz w:val="24"/>
          <w:szCs w:val="24"/>
        </w:rPr>
        <w:t>e</w:t>
      </w:r>
      <w:r w:rsidRPr="003779C6">
        <w:rPr>
          <w:rFonts w:ascii="Times New Roman" w:hAnsi="Times New Roman"/>
          <w:sz w:val="24"/>
          <w:szCs w:val="24"/>
        </w:rPr>
        <w:t xml:space="preserve"> graduação em Enfermagem, com foco no desenvolvimento de competências clínicas essenciais para a prática profissional. Este estudo também aponta para a necessidade de ampliação das investigações sobre o uso da simulação clínica e do </w:t>
      </w:r>
      <w:proofErr w:type="spellStart"/>
      <w:r w:rsidRPr="003779C6">
        <w:rPr>
          <w:rFonts w:ascii="Times New Roman" w:hAnsi="Times New Roman"/>
          <w:i/>
          <w:iCs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sz w:val="24"/>
          <w:szCs w:val="24"/>
        </w:rPr>
        <w:t xml:space="preserve"> em contextos educacionais diversos, contribuindo para a consolidação de práticas formativas baseadas em evidências no ensino da Enfermagem.</w:t>
      </w:r>
    </w:p>
    <w:p w:rsidR="0001440E" w:rsidRPr="003779C6" w:rsidRDefault="0001440E" w:rsidP="0001440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7BAD" w:rsidRPr="003779C6" w:rsidRDefault="006C7BAD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D7FFD" w:rsidRPr="003779C6" w:rsidRDefault="001D0908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="00005B7E" w:rsidRPr="003779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ONCLUSÃO</w:t>
      </w:r>
    </w:p>
    <w:p w:rsidR="0001440E" w:rsidRPr="003779C6" w:rsidRDefault="0001440E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5B7E" w:rsidRPr="003779C6" w:rsidRDefault="00005B7E" w:rsidP="00005B7E">
      <w:pPr>
        <w:tabs>
          <w:tab w:val="left" w:pos="709"/>
          <w:tab w:val="left" w:pos="1134"/>
        </w:tabs>
        <w:ind w:firstLine="113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779C6">
        <w:rPr>
          <w:rFonts w:ascii="Times New Roman" w:hAnsi="Times New Roman"/>
          <w:color w:val="000000"/>
          <w:sz w:val="24"/>
          <w:szCs w:val="24"/>
        </w:rPr>
        <w:t xml:space="preserve">O estudo permitiu a avaliação do conhecimento e das habilidades de estudantes de enfermagem no manejo da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, antes e depois do emprego do </w:t>
      </w:r>
      <w:proofErr w:type="spellStart"/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 em um cenário clínico simulado. Quanto ao conhecimento, foi verificada evolução significativa no conhecimento teórico dos estudantes em relação à identificação, ao tratamento e ao gerenciamento da </w:t>
      </w:r>
      <w:proofErr w:type="spellStart"/>
      <w:r w:rsidRPr="003779C6">
        <w:rPr>
          <w:rFonts w:ascii="Times New Roman" w:hAnsi="Times New Roman"/>
          <w:color w:val="000000"/>
          <w:sz w:val="24"/>
          <w:szCs w:val="24"/>
        </w:rPr>
        <w:t>sepse</w:t>
      </w:r>
      <w:proofErr w:type="spellEnd"/>
      <w:r w:rsidRPr="003779C6">
        <w:rPr>
          <w:rFonts w:ascii="Times New Roman" w:hAnsi="Times New Roman"/>
          <w:color w:val="000000"/>
          <w:sz w:val="24"/>
          <w:szCs w:val="24"/>
        </w:rPr>
        <w:t xml:space="preserve">. No que tange às habilidades, avaliadas antes e depois do </w:t>
      </w:r>
      <w:proofErr w:type="spellStart"/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debriefing</w:t>
      </w:r>
      <w:proofErr w:type="spellEnd"/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3779C6">
        <w:rPr>
          <w:rFonts w:ascii="Times New Roman" w:hAnsi="Times New Roman"/>
          <w:color w:val="000000"/>
          <w:sz w:val="24"/>
          <w:szCs w:val="24"/>
        </w:rPr>
        <w:t>houve significativa melhora no desempenho das habilidades clínicas e no aproveitamento global, me</w:t>
      </w:r>
      <w:r w:rsidR="00102440" w:rsidRPr="003779C6">
        <w:rPr>
          <w:rFonts w:ascii="Times New Roman" w:hAnsi="Times New Roman"/>
          <w:color w:val="000000"/>
          <w:sz w:val="24"/>
          <w:szCs w:val="24"/>
        </w:rPr>
        <w:t>di</w:t>
      </w:r>
      <w:r w:rsidRPr="003779C6">
        <w:rPr>
          <w:rFonts w:ascii="Times New Roman" w:hAnsi="Times New Roman"/>
          <w:color w:val="000000"/>
          <w:sz w:val="24"/>
          <w:szCs w:val="24"/>
        </w:rPr>
        <w:t xml:space="preserve">dos pelo </w:t>
      </w:r>
      <w:proofErr w:type="spellStart"/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checklist</w:t>
      </w:r>
      <w:proofErr w:type="spellEnd"/>
      <w:r w:rsidRPr="003779C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A1743B" w:rsidRPr="003779C6" w:rsidRDefault="00A1743B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D7FFD" w:rsidRPr="003779C6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</w:t>
      </w:r>
      <w:r w:rsidR="00546DBF" w:rsidRPr="003779C6">
        <w:rPr>
          <w:rFonts w:ascii="Times New Roman" w:eastAsia="Times New Roman" w:hAnsi="Times New Roman" w:cs="Times New Roman"/>
          <w:b/>
          <w:sz w:val="24"/>
          <w:szCs w:val="24"/>
        </w:rPr>
        <w:t>EFERÊNCIAS</w:t>
      </w:r>
    </w:p>
    <w:p w:rsidR="00546DBF" w:rsidRPr="003779C6" w:rsidRDefault="00546DBF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Alaro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Ashine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TM,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Kebede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S,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Hussien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H,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Alaro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Kechine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Tibore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T. Knowledge and associated factors towards sepsis management among nurses working in the Emergency Department of Public Hospitals in Addis Ababa.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SAGE Open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Nurs</w:t>
      </w:r>
      <w:proofErr w:type="spellEnd"/>
      <w:r w:rsidR="00331F80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2024</w:t>
      </w:r>
      <w:r w:rsidR="00005B7E" w:rsidRPr="003779C6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005B7E" w:rsidRPr="003779C6">
        <w:rPr>
          <w:rFonts w:ascii="Times New Roman" w:hAnsi="Times New Roman" w:cs="Times New Roman"/>
          <w:sz w:val="20"/>
          <w:szCs w:val="20"/>
        </w:rPr>
        <w:t>[</w:t>
      </w:r>
      <w:r w:rsidR="00683AD6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683AD6" w:rsidRPr="003779C6">
        <w:rPr>
          <w:rFonts w:ascii="Times New Roman" w:hAnsi="Times New Roman" w:cs="Times New Roman"/>
          <w:sz w:val="20"/>
          <w:szCs w:val="20"/>
        </w:rPr>
        <w:t>out.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28];10:</w:t>
      </w:r>
      <w:r w:rsidR="00331F80" w:rsidRPr="003779C6">
        <w:rPr>
          <w:rFonts w:ascii="Times New Roman" w:hAnsi="Times New Roman" w:cs="Times New Roman"/>
          <w:sz w:val="20"/>
          <w:szCs w:val="20"/>
        </w:rPr>
        <w:t>23779608241274224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17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https://doi.org/10.1177/23779608241274224</w:t>
        </w:r>
      </w:hyperlink>
    </w:p>
    <w:p w:rsidR="00331F80" w:rsidRPr="003779C6" w:rsidRDefault="00331F80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Srzić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I,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Nesek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Adam V,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Tunjić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Pejak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D. Sepsis definition: What's new in the treatment guidelines.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Acta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Croat</w:t>
      </w:r>
      <w:proofErr w:type="spellEnd"/>
      <w:r w:rsidR="00331F80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2022 [</w:t>
      </w:r>
      <w:r w:rsidR="00331F80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331F80" w:rsidRPr="003779C6">
        <w:rPr>
          <w:rFonts w:ascii="Times New Roman" w:hAnsi="Times New Roman" w:cs="Times New Roman"/>
          <w:sz w:val="20"/>
          <w:szCs w:val="20"/>
        </w:rPr>
        <w:t>out.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28];61(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Suppl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1):67-72. Disponível em: </w:t>
      </w:r>
      <w:hyperlink r:id="rId18" w:history="1">
        <w:r w:rsidR="00331F80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https://doi.org/10.20471/acc.2022.61.s1.11</w:t>
        </w:r>
      </w:hyperlink>
      <w:r w:rsidR="00331F80" w:rsidRPr="003779C6">
        <w:rPr>
          <w:rFonts w:ascii="Times New Roman" w:hAnsi="Times New Roman" w:cs="Times New Roman"/>
          <w:sz w:val="20"/>
          <w:szCs w:val="20"/>
        </w:rPr>
        <w:t xml:space="preserve">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644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La Via L,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Sangiorgio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G, Stefani S, Marino A,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Nunnari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Cocuzza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S, et al. The global burden of sepsis and septic shock. </w:t>
      </w:r>
      <w:r w:rsidR="00005B7E" w:rsidRPr="003779C6">
        <w:rPr>
          <w:rFonts w:ascii="Times New Roman" w:hAnsi="Times New Roman" w:cs="Times New Roman"/>
          <w:sz w:val="20"/>
          <w:szCs w:val="20"/>
        </w:rPr>
        <w:t>Epidemiologia (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Basel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>)</w:t>
      </w:r>
      <w:r w:rsidR="00331F80" w:rsidRPr="003779C6">
        <w:rPr>
          <w:rFonts w:ascii="Times New Roman" w:hAnsi="Times New Roman" w:cs="Times New Roman"/>
          <w:sz w:val="20"/>
          <w:szCs w:val="20"/>
        </w:rPr>
        <w:t>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2024 [</w:t>
      </w:r>
      <w:r w:rsidR="00331F80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331F80" w:rsidRPr="003779C6">
        <w:rPr>
          <w:rFonts w:ascii="Times New Roman" w:hAnsi="Times New Roman" w:cs="Times New Roman"/>
          <w:sz w:val="20"/>
          <w:szCs w:val="20"/>
        </w:rPr>
        <w:t>out.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28]; 5(3):456-78. Disponível em: </w:t>
      </w:r>
      <w:hyperlink r:id="rId19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https://doi.org/10.3390/epidemiologia5030032</w:t>
        </w:r>
      </w:hyperlink>
    </w:p>
    <w:p w:rsidR="00005B7E" w:rsidRPr="003779C6" w:rsidRDefault="00005B7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Guarino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Perna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B,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Cesaro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AE,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Maritati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Spampinato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MD,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Contini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C, De Giorgio R. Update on sepsis and septic shock in adult patients: management in the emergency department.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F453E3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2023 [</w:t>
      </w:r>
      <w:r w:rsidR="00F453E3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F453E3" w:rsidRPr="003779C6">
        <w:rPr>
          <w:rFonts w:ascii="Times New Roman" w:hAnsi="Times New Roman" w:cs="Times New Roman"/>
          <w:sz w:val="20"/>
          <w:szCs w:val="20"/>
        </w:rPr>
        <w:t>out.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28];12(9):3188. Disponível em: </w:t>
      </w:r>
      <w:hyperlink r:id="rId20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https://doi.org/10.3390/jcm12093188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Machado FR, Cavalcanti AB,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Bozza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FA, Ferreira EM,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Carrara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FSA, Sousa JL,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al.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The epidemiology of sepsis in Brazilian intensive care units (the Sepsis </w:t>
      </w:r>
      <w:proofErr w:type="spellStart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>PREvalence</w:t>
      </w:r>
      <w:proofErr w:type="spellEnd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Assessment Database, SPREAD): an observational study. </w:t>
      </w:r>
      <w:r w:rsidRPr="003779C6">
        <w:rPr>
          <w:rFonts w:ascii="Times New Roman" w:hAnsi="Times New Roman" w:cs="Times New Roman"/>
          <w:sz w:val="20"/>
          <w:szCs w:val="20"/>
        </w:rPr>
        <w:t xml:space="preserve">Lancet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Infect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="00862899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Pr="003779C6">
        <w:rPr>
          <w:rFonts w:ascii="Times New Roman" w:hAnsi="Times New Roman" w:cs="Times New Roman"/>
          <w:sz w:val="20"/>
          <w:szCs w:val="20"/>
        </w:rPr>
        <w:t>. 2017 [</w:t>
      </w:r>
      <w:r w:rsidR="00862899" w:rsidRPr="003779C6">
        <w:rPr>
          <w:rFonts w:ascii="Times New Roman" w:hAnsi="Times New Roman" w:cs="Times New Roman"/>
          <w:sz w:val="20"/>
          <w:szCs w:val="20"/>
        </w:rPr>
        <w:t>citado em</w:t>
      </w:r>
      <w:r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862899" w:rsidRPr="003779C6">
        <w:rPr>
          <w:rFonts w:ascii="Times New Roman" w:hAnsi="Times New Roman" w:cs="Times New Roman"/>
          <w:sz w:val="20"/>
          <w:szCs w:val="20"/>
        </w:rPr>
        <w:t xml:space="preserve">out </w:t>
      </w:r>
      <w:r w:rsidRPr="003779C6">
        <w:rPr>
          <w:rFonts w:ascii="Times New Roman" w:hAnsi="Times New Roman" w:cs="Times New Roman"/>
          <w:sz w:val="20"/>
          <w:szCs w:val="20"/>
        </w:rPr>
        <w:t xml:space="preserve">28];17(11):1180-9. Disponível em: </w:t>
      </w:r>
      <w:hyperlink r:id="rId21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https://doi.org/10.1016/S1473-3099(17)30322-5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Nogueira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JWS,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Magro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MCS. Construction and validation of a scenario for recognizing sepsis by nursing students: a methodological study.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Bras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="00862899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2023 [</w:t>
      </w:r>
      <w:r w:rsidR="00862899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2024 </w:t>
      </w:r>
      <w:r w:rsidR="00862899" w:rsidRPr="003779C6">
        <w:rPr>
          <w:rFonts w:ascii="Times New Roman" w:hAnsi="Times New Roman" w:cs="Times New Roman"/>
          <w:sz w:val="20"/>
          <w:szCs w:val="20"/>
        </w:rPr>
        <w:t>out.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28];76(4):e20220537. Disponível em:  </w:t>
      </w:r>
      <w:hyperlink r:id="rId22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https://doi.org/10.1590/0034-7167-2022-0537pt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Silva DF, Brasil MHF, Santos GCV, Guimarães KSL, Oliveira FMRL, Leal NPR,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al.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Knowledge of emergency nurses about a sepsis clinical protocol. Rev </w:t>
      </w:r>
      <w:proofErr w:type="spellStart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>Enferm</w:t>
      </w:r>
      <w:proofErr w:type="spellEnd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UFPE [Internet]. </w:t>
      </w:r>
      <w:r w:rsidRPr="003779C6">
        <w:rPr>
          <w:rFonts w:ascii="Times New Roman" w:hAnsi="Times New Roman" w:cs="Times New Roman"/>
          <w:sz w:val="20"/>
          <w:szCs w:val="20"/>
        </w:rPr>
        <w:t>2021</w:t>
      </w:r>
      <w:r w:rsidR="00862899" w:rsidRPr="003779C6">
        <w:rPr>
          <w:rFonts w:ascii="Times New Roman" w:hAnsi="Times New Roman" w:cs="Times New Roman"/>
          <w:sz w:val="20"/>
          <w:szCs w:val="20"/>
        </w:rPr>
        <w:t>[citado em 2024 out. 28]</w:t>
      </w:r>
      <w:r w:rsidRPr="003779C6">
        <w:rPr>
          <w:rFonts w:ascii="Times New Roman" w:hAnsi="Times New Roman" w:cs="Times New Roman"/>
          <w:sz w:val="20"/>
          <w:szCs w:val="20"/>
        </w:rPr>
        <w:t>;15</w:t>
      </w:r>
      <w:r w:rsidR="00862899" w:rsidRPr="003779C6">
        <w:rPr>
          <w:rFonts w:ascii="Times New Roman" w:hAnsi="Times New Roman" w:cs="Times New Roman"/>
          <w:sz w:val="20"/>
          <w:szCs w:val="20"/>
        </w:rPr>
        <w:t>(1)</w:t>
      </w:r>
      <w:r w:rsidRPr="003779C6">
        <w:rPr>
          <w:rFonts w:ascii="Times New Roman" w:hAnsi="Times New Roman" w:cs="Times New Roman"/>
          <w:sz w:val="20"/>
          <w:szCs w:val="20"/>
        </w:rPr>
        <w:t xml:space="preserve">:e245947. Disponível em: </w:t>
      </w:r>
      <w:hyperlink r:id="rId23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https://doi.org/10.5205/1981-8963.2021.245947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CD2977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7" w:name="_Hlk213185094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Maguire MBR, White A, Brannan JD, Brown AR. The effect of a repeat septic shock simulation on the knowledge and skill performance of undergraduate nursing students. </w:t>
      </w:r>
      <w:r w:rsidR="00CD2977" w:rsidRPr="003779C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="00CD2977" w:rsidRPr="003779C6">
        <w:rPr>
          <w:rFonts w:ascii="Times New Roman" w:hAnsi="Times New Roman" w:cs="Times New Roman"/>
          <w:sz w:val="20"/>
          <w:szCs w:val="20"/>
        </w:rPr>
        <w:t>Nurs</w:t>
      </w:r>
      <w:proofErr w:type="spellEnd"/>
      <w:r w:rsidR="00CD2977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2977"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="00CD2977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2977" w:rsidRPr="003779C6">
        <w:rPr>
          <w:rFonts w:ascii="Times New Roman" w:hAnsi="Times New Roman" w:cs="Times New Roman"/>
          <w:sz w:val="20"/>
          <w:szCs w:val="20"/>
        </w:rPr>
        <w:t>Pract</w:t>
      </w:r>
      <w:proofErr w:type="spellEnd"/>
      <w:r w:rsidR="00CD2977" w:rsidRPr="003779C6">
        <w:rPr>
          <w:rFonts w:ascii="Times New Roman" w:hAnsi="Times New Roman" w:cs="Times New Roman"/>
          <w:sz w:val="20"/>
          <w:szCs w:val="20"/>
        </w:rPr>
        <w:t xml:space="preserve">  [Internet]. 2021 [citado em 2025 out. 28];11(1):30. Disponível em:  </w:t>
      </w:r>
      <w:bookmarkStart w:id="8" w:name="_Hlk213185067"/>
      <w:r w:rsidR="00CD2977" w:rsidRPr="003779C6">
        <w:rPr>
          <w:rFonts w:ascii="Times New Roman" w:hAnsi="Times New Roman" w:cs="Times New Roman"/>
          <w:sz w:val="20"/>
          <w:szCs w:val="20"/>
        </w:rPr>
        <w:t>https://doi.org/10.5430/jnep.v11n1p30</w:t>
      </w:r>
    </w:p>
    <w:bookmarkEnd w:id="7"/>
    <w:bookmarkEnd w:id="8"/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Choy CL,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Liaw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SY,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Goh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EL, See KC, Chua WL. Impact of sepsis education for healthcare professionals and students on learning and patient outcomes: a systematic review.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Hosp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Infect</w:t>
      </w:r>
      <w:proofErr w:type="spellEnd"/>
      <w:r w:rsidR="00F05C18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2022</w:t>
      </w:r>
      <w:r w:rsidR="00F05C18" w:rsidRPr="003779C6">
        <w:rPr>
          <w:rFonts w:ascii="Times New Roman" w:hAnsi="Times New Roman" w:cs="Times New Roman"/>
          <w:sz w:val="20"/>
          <w:szCs w:val="20"/>
        </w:rPr>
        <w:t>[citado em 2024 out. 28]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;122:84-95. Disponível em: </w:t>
      </w:r>
      <w:hyperlink r:id="rId24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https://doi.org/10.1016/j.jhin.2022.01.004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Kuttab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HI, Evans CG,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Lykins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JD, Hughes MD,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Kopec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JA, Hernandez MA, Ward MA. The effect of fluid resuscitation timing in early sepsis resuscitation.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Intensive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2A20AA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2023</w:t>
      </w:r>
      <w:r w:rsidR="002A20AA" w:rsidRPr="003779C6">
        <w:rPr>
          <w:rFonts w:ascii="Times New Roman" w:hAnsi="Times New Roman" w:cs="Times New Roman"/>
          <w:sz w:val="20"/>
          <w:szCs w:val="20"/>
        </w:rPr>
        <w:t>[citado em 2024 out. 28]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;38(11):1051-9. Disponível em: </w:t>
      </w:r>
      <w:hyperlink r:id="rId25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https://doi.org/10.1177/08850666231180530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Evans L, Rhodes A,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Alhazzani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W,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Antonelli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Coopersmith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CM, French C, et al. Surviving sepsis campaign: international guidelines for management of sepsis and septic shock 2021.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Intensive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2A20AA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2021</w:t>
      </w:r>
      <w:r w:rsidR="002A20AA" w:rsidRPr="003779C6">
        <w:rPr>
          <w:rFonts w:ascii="Times New Roman" w:hAnsi="Times New Roman" w:cs="Times New Roman"/>
          <w:sz w:val="20"/>
          <w:szCs w:val="20"/>
        </w:rPr>
        <w:t>[citado em 2024 out. 28]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;47(11):1181-247. </w:t>
      </w:r>
      <w:hyperlink r:id="rId26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https://doi.org/10.1007/s00134-021-06506-y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Martinez K, Aronson B. Development and evaluation of a sepsis simulation with undergraduate nursing students.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Nurse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="002A20AA" w:rsidRPr="003779C6">
        <w:rPr>
          <w:rFonts w:ascii="Times New Roman" w:hAnsi="Times New Roman" w:cs="Times New Roman"/>
          <w:sz w:val="20"/>
          <w:szCs w:val="20"/>
        </w:rPr>
        <w:t>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2024</w:t>
      </w:r>
      <w:r w:rsidR="002A20AA" w:rsidRPr="003779C6">
        <w:rPr>
          <w:rFonts w:ascii="Times New Roman" w:hAnsi="Times New Roman" w:cs="Times New Roman"/>
          <w:sz w:val="20"/>
          <w:szCs w:val="20"/>
        </w:rPr>
        <w:t xml:space="preserve"> [citado em 2024 out. 28]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;132:106031. Disponível em: </w:t>
      </w:r>
      <w:hyperlink r:id="rId27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https://doi.org/10.1016/j.nedt.2023.106031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lastRenderedPageBreak/>
        <w:t>Cuesta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>-Montero P, Navarro-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Martínez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J,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Yedro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Galiana-Ivars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M. Sepsis and clinical simulation: what is new? </w:t>
      </w:r>
      <w:r w:rsidR="002A20AA" w:rsidRPr="003779C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A20AA" w:rsidRPr="003779C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A20AA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20AA" w:rsidRPr="003779C6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). 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Pers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2A20AA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2023</w:t>
      </w:r>
      <w:r w:rsidR="002A20AA" w:rsidRPr="003779C6">
        <w:rPr>
          <w:rFonts w:ascii="Times New Roman" w:hAnsi="Times New Roman" w:cs="Times New Roman"/>
          <w:sz w:val="20"/>
          <w:szCs w:val="20"/>
        </w:rPr>
        <w:t xml:space="preserve"> [citado em 2024 out. 28]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; 13(10):1475. Disponível em:  </w:t>
      </w:r>
      <w:hyperlink r:id="rId28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https://doi.org/10.3390/jpm13101475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Falconer B,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Lasiter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S, Patel S. Simulation sequencing in nursing education and its impact on student learning outcomes: a scoping review.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Nurse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="00376E40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2025 [</w:t>
      </w:r>
      <w:r w:rsidR="00376E40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376E40" w:rsidRPr="003779C6">
        <w:rPr>
          <w:rFonts w:ascii="Times New Roman" w:hAnsi="Times New Roman" w:cs="Times New Roman"/>
          <w:sz w:val="20"/>
          <w:szCs w:val="20"/>
        </w:rPr>
        <w:t>m</w:t>
      </w:r>
      <w:r w:rsidR="00005B7E" w:rsidRPr="003779C6">
        <w:rPr>
          <w:rFonts w:ascii="Times New Roman" w:hAnsi="Times New Roman" w:cs="Times New Roman"/>
          <w:sz w:val="20"/>
          <w:szCs w:val="20"/>
        </w:rPr>
        <w:t>ar</w:t>
      </w:r>
      <w:r w:rsidR="00376E40" w:rsidRPr="003779C6">
        <w:rPr>
          <w:rFonts w:ascii="Times New Roman" w:hAnsi="Times New Roman" w:cs="Times New Roman"/>
          <w:sz w:val="20"/>
          <w:szCs w:val="20"/>
        </w:rPr>
        <w:t>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18];</w:t>
      </w:r>
      <w:r w:rsidR="00376E40" w:rsidRPr="003779C6">
        <w:rPr>
          <w:rFonts w:ascii="Times New Roman" w:hAnsi="Times New Roman" w:cs="Times New Roman"/>
          <w:sz w:val="20"/>
          <w:szCs w:val="20"/>
        </w:rPr>
        <w:t>50(4):E196-E200.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Disponível em: </w:t>
      </w:r>
      <w:hyperlink r:id="rId29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https://doi.org/10.1097/NNE.0000000000001828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644E" w:rsidRPr="003779C6" w:rsidRDefault="00445EF6" w:rsidP="006C3140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Harder N, Turner S, Kramer M, Mitchell K. Exploring </w:t>
      </w:r>
      <w:r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modalities in healthcare simulation: self-reflection, self-</w:t>
      </w:r>
      <w:r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tele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and facilitated </w:t>
      </w:r>
      <w:r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Simul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Nurs</w:t>
      </w:r>
      <w:proofErr w:type="spellEnd"/>
      <w:r w:rsidR="00376E40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2024 [</w:t>
      </w:r>
      <w:r w:rsidR="00376E40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376E40" w:rsidRPr="003779C6">
        <w:rPr>
          <w:rFonts w:ascii="Times New Roman" w:hAnsi="Times New Roman" w:cs="Times New Roman"/>
          <w:sz w:val="20"/>
          <w:szCs w:val="20"/>
        </w:rPr>
        <w:t>m</w:t>
      </w:r>
      <w:r w:rsidR="00005B7E" w:rsidRPr="003779C6">
        <w:rPr>
          <w:rFonts w:ascii="Times New Roman" w:hAnsi="Times New Roman" w:cs="Times New Roman"/>
          <w:sz w:val="20"/>
          <w:szCs w:val="20"/>
        </w:rPr>
        <w:t>ar</w:t>
      </w:r>
      <w:r w:rsidR="00376E40" w:rsidRPr="003779C6">
        <w:rPr>
          <w:rFonts w:ascii="Times New Roman" w:hAnsi="Times New Roman" w:cs="Times New Roman"/>
          <w:sz w:val="20"/>
          <w:szCs w:val="20"/>
        </w:rPr>
        <w:t>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18];92:101561. Disponível em:  </w:t>
      </w:r>
      <w:hyperlink r:id="rId30" w:history="1">
        <w:r w:rsidR="00376E40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https://doi.org/10.1016/j.ecns.2024.101561</w:t>
        </w:r>
      </w:hyperlink>
      <w:r w:rsidR="00376E40" w:rsidRPr="003779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6E40" w:rsidRPr="003779C6" w:rsidRDefault="00376E40" w:rsidP="00376E4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79C6">
        <w:rPr>
          <w:rFonts w:ascii="Times New Roman" w:hAnsi="Times New Roman" w:cs="Times New Roman"/>
          <w:sz w:val="20"/>
          <w:szCs w:val="20"/>
        </w:rPr>
        <w:t>Fegran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L,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Ham-Baloyi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WT,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Fossum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Hovland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OJ,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Naidoo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JR, van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Rooyen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DRM,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al.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Simulation </w:t>
      </w:r>
      <w:r w:rsidR="00445EF6"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as part of simulation for clinical teaching and learning in nursing education: a scoping review.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Nurs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Open</w:t>
      </w:r>
      <w:r w:rsidR="00266C27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Pr="003779C6">
        <w:rPr>
          <w:rFonts w:ascii="Times New Roman" w:hAnsi="Times New Roman" w:cs="Times New Roman"/>
          <w:sz w:val="20"/>
          <w:szCs w:val="20"/>
        </w:rPr>
        <w:t>. 2023 [</w:t>
      </w:r>
      <w:r w:rsidR="00266C27" w:rsidRPr="003779C6">
        <w:rPr>
          <w:rFonts w:ascii="Times New Roman" w:hAnsi="Times New Roman" w:cs="Times New Roman"/>
          <w:sz w:val="20"/>
          <w:szCs w:val="20"/>
        </w:rPr>
        <w:t>citado em</w:t>
      </w:r>
      <w:r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266C27" w:rsidRPr="003779C6">
        <w:rPr>
          <w:rFonts w:ascii="Times New Roman" w:hAnsi="Times New Roman" w:cs="Times New Roman"/>
          <w:sz w:val="20"/>
          <w:szCs w:val="20"/>
        </w:rPr>
        <w:t>m</w:t>
      </w:r>
      <w:r w:rsidRPr="003779C6">
        <w:rPr>
          <w:rFonts w:ascii="Times New Roman" w:hAnsi="Times New Roman" w:cs="Times New Roman"/>
          <w:sz w:val="20"/>
          <w:szCs w:val="20"/>
        </w:rPr>
        <w:t>ar</w:t>
      </w:r>
      <w:r w:rsidR="00266C27" w:rsidRPr="003779C6">
        <w:rPr>
          <w:rFonts w:ascii="Times New Roman" w:hAnsi="Times New Roman" w:cs="Times New Roman"/>
          <w:sz w:val="20"/>
          <w:szCs w:val="20"/>
        </w:rPr>
        <w:t>.</w:t>
      </w:r>
      <w:r w:rsidRPr="003779C6">
        <w:rPr>
          <w:rFonts w:ascii="Times New Roman" w:hAnsi="Times New Roman" w:cs="Times New Roman"/>
          <w:sz w:val="20"/>
          <w:szCs w:val="20"/>
        </w:rPr>
        <w:t xml:space="preserve"> 18];10(3):1217-33. Disponível em:  </w:t>
      </w:r>
      <w:hyperlink r:id="rId31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https://doi.org/10.1002/nop2.1426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Silva CC,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Natarelli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TRP, Domingues AN, Fonseca LMM, Melo LL. </w:t>
      </w:r>
      <w:proofErr w:type="spellStart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>Prebriefing</w:t>
      </w:r>
      <w:proofErr w:type="spellEnd"/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in clinical simulation in nursing: scoping review.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Gaúcha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="00266C27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Pr="003779C6">
        <w:rPr>
          <w:rFonts w:ascii="Times New Roman" w:hAnsi="Times New Roman" w:cs="Times New Roman"/>
          <w:sz w:val="20"/>
          <w:szCs w:val="20"/>
        </w:rPr>
        <w:t>. 2022 [</w:t>
      </w:r>
      <w:r w:rsidR="00266C27" w:rsidRPr="003779C6">
        <w:rPr>
          <w:rFonts w:ascii="Times New Roman" w:hAnsi="Times New Roman" w:cs="Times New Roman"/>
          <w:sz w:val="20"/>
          <w:szCs w:val="20"/>
        </w:rPr>
        <w:t>citado em</w:t>
      </w:r>
      <w:r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266C27" w:rsidRPr="003779C6">
        <w:rPr>
          <w:rFonts w:ascii="Times New Roman" w:hAnsi="Times New Roman" w:cs="Times New Roman"/>
          <w:sz w:val="20"/>
          <w:szCs w:val="20"/>
        </w:rPr>
        <w:t>m</w:t>
      </w:r>
      <w:r w:rsidRPr="003779C6">
        <w:rPr>
          <w:rFonts w:ascii="Times New Roman" w:hAnsi="Times New Roman" w:cs="Times New Roman"/>
          <w:sz w:val="20"/>
          <w:szCs w:val="20"/>
        </w:rPr>
        <w:t>ar</w:t>
      </w:r>
      <w:r w:rsidR="00266C27" w:rsidRPr="003779C6">
        <w:rPr>
          <w:rFonts w:ascii="Times New Roman" w:hAnsi="Times New Roman" w:cs="Times New Roman"/>
          <w:sz w:val="20"/>
          <w:szCs w:val="20"/>
        </w:rPr>
        <w:t>.</w:t>
      </w:r>
      <w:r w:rsidRPr="003779C6">
        <w:rPr>
          <w:rFonts w:ascii="Times New Roman" w:hAnsi="Times New Roman" w:cs="Times New Roman"/>
          <w:sz w:val="20"/>
          <w:szCs w:val="20"/>
        </w:rPr>
        <w:t xml:space="preserve"> 18];43(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spe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):e20220067. Disponível em: </w:t>
      </w:r>
      <w:hyperlink r:id="rId32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https://doi.org/10.1590/1983-1447.2018.20220067</w:t>
        </w:r>
      </w:hyperlink>
      <w:r w:rsidR="00D7644E" w:rsidRPr="003779C6">
        <w:rPr>
          <w:rFonts w:ascii="Times New Roman" w:hAnsi="Times New Roman" w:cs="Times New Roman"/>
          <w:sz w:val="20"/>
          <w:szCs w:val="20"/>
        </w:rPr>
        <w:t>.</w:t>
      </w:r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Janicas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RCSV,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Narchi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NZ. Evaluation of nursing students’ learning using realistic scenarios with and without </w:t>
      </w:r>
      <w:r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Latino</w:t>
      </w:r>
      <w:r w:rsidR="00A3322C" w:rsidRPr="003779C6">
        <w:rPr>
          <w:rFonts w:ascii="Times New Roman" w:hAnsi="Times New Roman" w:cs="Times New Roman"/>
          <w:sz w:val="20"/>
          <w:szCs w:val="20"/>
        </w:rPr>
        <w:t>a</w:t>
      </w:r>
      <w:r w:rsidR="00005B7E" w:rsidRPr="003779C6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="008C2E02" w:rsidRPr="003779C6">
        <w:rPr>
          <w:rFonts w:ascii="Times New Roman" w:hAnsi="Times New Roman" w:cs="Times New Roman"/>
          <w:sz w:val="20"/>
          <w:szCs w:val="20"/>
        </w:rPr>
        <w:t>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2019</w:t>
      </w:r>
      <w:r w:rsidR="008C2E02" w:rsidRPr="003779C6">
        <w:rPr>
          <w:rFonts w:ascii="Times New Roman" w:hAnsi="Times New Roman" w:cs="Times New Roman"/>
          <w:sz w:val="20"/>
          <w:szCs w:val="20"/>
        </w:rPr>
        <w:t xml:space="preserve"> [citado em 2025 mar. 18];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27:e3187. Disponível em: </w:t>
      </w:r>
      <w:hyperlink r:id="rId33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https://doi.org/10.1590/1518-8345.2936.3187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79C6">
        <w:rPr>
          <w:rFonts w:ascii="Times New Roman" w:hAnsi="Times New Roman" w:cs="Times New Roman"/>
          <w:sz w:val="20"/>
          <w:szCs w:val="20"/>
        </w:rPr>
        <w:t>Chávez-Valenzuela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P,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Kappes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M,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Sambuceti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CE,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Díaz-Guio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DA.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Challenges in the implementation of inter-professional education programs with clinical simulation for health care students: a scoping review. </w:t>
      </w:r>
      <w:r w:rsidRPr="003779C6">
        <w:rPr>
          <w:rFonts w:ascii="Times New Roman" w:hAnsi="Times New Roman" w:cs="Times New Roman"/>
          <w:sz w:val="20"/>
          <w:szCs w:val="20"/>
        </w:rPr>
        <w:t xml:space="preserve">Nurse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="008C2E02" w:rsidRPr="003779C6">
        <w:rPr>
          <w:rFonts w:ascii="Times New Roman" w:hAnsi="Times New Roman" w:cs="Times New Roman"/>
          <w:sz w:val="20"/>
          <w:szCs w:val="20"/>
        </w:rPr>
        <w:t>[Internet]</w:t>
      </w:r>
      <w:r w:rsidRPr="003779C6">
        <w:rPr>
          <w:rFonts w:ascii="Times New Roman" w:hAnsi="Times New Roman" w:cs="Times New Roman"/>
          <w:sz w:val="20"/>
          <w:szCs w:val="20"/>
        </w:rPr>
        <w:t>. 2025 [</w:t>
      </w:r>
      <w:r w:rsidR="008C2E02" w:rsidRPr="003779C6">
        <w:rPr>
          <w:rFonts w:ascii="Times New Roman" w:hAnsi="Times New Roman" w:cs="Times New Roman"/>
          <w:sz w:val="20"/>
          <w:szCs w:val="20"/>
        </w:rPr>
        <w:t>citado em</w:t>
      </w:r>
      <w:r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8C2E02" w:rsidRPr="003779C6">
        <w:rPr>
          <w:rFonts w:ascii="Times New Roman" w:hAnsi="Times New Roman" w:cs="Times New Roman"/>
          <w:sz w:val="20"/>
          <w:szCs w:val="20"/>
        </w:rPr>
        <w:t>m</w:t>
      </w:r>
      <w:r w:rsidRPr="003779C6">
        <w:rPr>
          <w:rFonts w:ascii="Times New Roman" w:hAnsi="Times New Roman" w:cs="Times New Roman"/>
          <w:sz w:val="20"/>
          <w:szCs w:val="20"/>
        </w:rPr>
        <w:t>ar</w:t>
      </w:r>
      <w:r w:rsidR="008C2E02" w:rsidRPr="003779C6">
        <w:rPr>
          <w:rFonts w:ascii="Times New Roman" w:hAnsi="Times New Roman" w:cs="Times New Roman"/>
          <w:sz w:val="20"/>
          <w:szCs w:val="20"/>
        </w:rPr>
        <w:t>.</w:t>
      </w:r>
      <w:r w:rsidRPr="003779C6">
        <w:rPr>
          <w:rFonts w:ascii="Times New Roman" w:hAnsi="Times New Roman" w:cs="Times New Roman"/>
          <w:sz w:val="20"/>
          <w:szCs w:val="20"/>
        </w:rPr>
        <w:t xml:space="preserve"> 18];146:106548. Disponível em:  </w:t>
      </w:r>
      <w:hyperlink r:id="rId34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https://doi.org/10.1016/j.nedt.2024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779C6">
        <w:rPr>
          <w:rFonts w:ascii="Times New Roman" w:hAnsi="Times New Roman" w:cs="Times New Roman"/>
          <w:sz w:val="20"/>
          <w:szCs w:val="20"/>
        </w:rPr>
        <w:t>Polit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DF,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Beck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CT. Fundamentos de </w:t>
      </w:r>
      <w:r w:rsidR="008C2E02" w:rsidRPr="003779C6">
        <w:rPr>
          <w:rFonts w:ascii="Times New Roman" w:hAnsi="Times New Roman" w:cs="Times New Roman"/>
          <w:sz w:val="20"/>
          <w:szCs w:val="20"/>
        </w:rPr>
        <w:t>pesquisa em enfermagem: avaliação de evidências para a prática de enfermagem</w:t>
      </w:r>
      <w:r w:rsidRPr="003779C6">
        <w:rPr>
          <w:rFonts w:ascii="Times New Roman" w:hAnsi="Times New Roman" w:cs="Times New Roman"/>
          <w:sz w:val="20"/>
          <w:szCs w:val="20"/>
        </w:rPr>
        <w:t>. 9</w:t>
      </w:r>
      <w:r w:rsidR="008C2E02" w:rsidRPr="003779C6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3779C6">
        <w:rPr>
          <w:rFonts w:ascii="Times New Roman" w:hAnsi="Times New Roman" w:cs="Times New Roman"/>
          <w:sz w:val="20"/>
          <w:szCs w:val="20"/>
        </w:rPr>
        <w:t xml:space="preserve"> ed. Porto Alegre: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Artmed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>; 2019.</w:t>
      </w:r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>Goulart LS, Ferreira J</w:t>
      </w:r>
      <w:r w:rsidR="008C2E02" w:rsidRPr="003779C6">
        <w:rPr>
          <w:rFonts w:ascii="Times New Roman" w:hAnsi="Times New Roman" w:cs="Times New Roman"/>
          <w:sz w:val="20"/>
          <w:szCs w:val="20"/>
        </w:rPr>
        <w:t xml:space="preserve">únior </w:t>
      </w:r>
      <w:r w:rsidRPr="003779C6">
        <w:rPr>
          <w:rFonts w:ascii="Times New Roman" w:hAnsi="Times New Roman" w:cs="Times New Roman"/>
          <w:sz w:val="20"/>
          <w:szCs w:val="20"/>
        </w:rPr>
        <w:t xml:space="preserve">MA,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Sarti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ECFB, Sousa </w:t>
      </w:r>
      <w:r w:rsidR="008C2E02" w:rsidRPr="003779C6">
        <w:rPr>
          <w:rFonts w:ascii="Times New Roman" w:hAnsi="Times New Roman" w:cs="Times New Roman"/>
          <w:sz w:val="20"/>
          <w:szCs w:val="20"/>
        </w:rPr>
        <w:t>A</w:t>
      </w:r>
      <w:r w:rsidRPr="003779C6">
        <w:rPr>
          <w:rFonts w:ascii="Times New Roman" w:hAnsi="Times New Roman" w:cs="Times New Roman"/>
          <w:sz w:val="20"/>
          <w:szCs w:val="20"/>
        </w:rPr>
        <w:t xml:space="preserve">FL, Ferreira AM, Frota OP.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Are nurses updated on the proper management of patients with sepsis?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Esc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Anna Nery</w:t>
      </w:r>
      <w:r w:rsidR="000F529B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Pr="003779C6">
        <w:rPr>
          <w:rFonts w:ascii="Times New Roman" w:hAnsi="Times New Roman" w:cs="Times New Roman"/>
          <w:sz w:val="20"/>
          <w:szCs w:val="20"/>
        </w:rPr>
        <w:t>. 2019 [</w:t>
      </w:r>
      <w:r w:rsidR="000F529B" w:rsidRPr="003779C6">
        <w:rPr>
          <w:rFonts w:ascii="Times New Roman" w:hAnsi="Times New Roman" w:cs="Times New Roman"/>
          <w:sz w:val="20"/>
          <w:szCs w:val="20"/>
        </w:rPr>
        <w:t>citado em</w:t>
      </w:r>
      <w:r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0F529B" w:rsidRPr="003779C6">
        <w:rPr>
          <w:rFonts w:ascii="Times New Roman" w:hAnsi="Times New Roman" w:cs="Times New Roman"/>
          <w:sz w:val="20"/>
          <w:szCs w:val="20"/>
        </w:rPr>
        <w:t>m</w:t>
      </w:r>
      <w:r w:rsidRPr="003779C6">
        <w:rPr>
          <w:rFonts w:ascii="Times New Roman" w:hAnsi="Times New Roman" w:cs="Times New Roman"/>
          <w:sz w:val="20"/>
          <w:szCs w:val="20"/>
        </w:rPr>
        <w:t>ar</w:t>
      </w:r>
      <w:r w:rsidR="000F529B" w:rsidRPr="003779C6">
        <w:rPr>
          <w:rFonts w:ascii="Times New Roman" w:hAnsi="Times New Roman" w:cs="Times New Roman"/>
          <w:sz w:val="20"/>
          <w:szCs w:val="20"/>
        </w:rPr>
        <w:t>.</w:t>
      </w:r>
      <w:r w:rsidRPr="003779C6">
        <w:rPr>
          <w:rFonts w:ascii="Times New Roman" w:hAnsi="Times New Roman" w:cs="Times New Roman"/>
          <w:sz w:val="20"/>
          <w:szCs w:val="20"/>
        </w:rPr>
        <w:t xml:space="preserve"> 18];23(4):e20190013. Disponível em: </w:t>
      </w:r>
      <w:hyperlink r:id="rId35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https://doi.org/10.1590/2177-9465-EAN-2019-0013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Carvalho LR,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Zem-Mascarenhas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SH. 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Construction and validation of a sepsis simulation scenario: a methodological study.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Esc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USP. 2020[acesso 2025 Mar 18]; 54:e03638. Disponível em: </w:t>
      </w:r>
      <w:hyperlink r:id="rId36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https://doi.org/10.1590/S1980-220X2019021603638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7644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Liaw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SY, Tan JZ, Bin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Rusli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KD,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Ratan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R, Zhou W, Lim S, et al. Artificial intelligence versus human-controlled doctor in virtual reality simulation for sepsis team training: randomized controlled study.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Internet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="000F529B" w:rsidRPr="003779C6">
        <w:rPr>
          <w:rFonts w:ascii="Times New Roman" w:hAnsi="Times New Roman" w:cs="Times New Roman"/>
          <w:sz w:val="20"/>
          <w:szCs w:val="20"/>
        </w:rPr>
        <w:t xml:space="preserve"> [Internet]</w:t>
      </w:r>
      <w:r w:rsidR="00005B7E" w:rsidRPr="003779C6">
        <w:rPr>
          <w:rFonts w:ascii="Times New Roman" w:hAnsi="Times New Roman" w:cs="Times New Roman"/>
          <w:sz w:val="20"/>
          <w:szCs w:val="20"/>
        </w:rPr>
        <w:t>. 2023 [</w:t>
      </w:r>
      <w:r w:rsidR="000F529B" w:rsidRPr="003779C6">
        <w:rPr>
          <w:rFonts w:ascii="Times New Roman" w:hAnsi="Times New Roman" w:cs="Times New Roman"/>
          <w:sz w:val="20"/>
          <w:szCs w:val="20"/>
        </w:rPr>
        <w:t>citado em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2025 </w:t>
      </w:r>
      <w:r w:rsidR="000F529B" w:rsidRPr="003779C6">
        <w:rPr>
          <w:rFonts w:ascii="Times New Roman" w:hAnsi="Times New Roman" w:cs="Times New Roman"/>
          <w:sz w:val="20"/>
          <w:szCs w:val="20"/>
        </w:rPr>
        <w:t>m</w:t>
      </w:r>
      <w:r w:rsidR="00005B7E" w:rsidRPr="003779C6">
        <w:rPr>
          <w:rFonts w:ascii="Times New Roman" w:hAnsi="Times New Roman" w:cs="Times New Roman"/>
          <w:sz w:val="20"/>
          <w:szCs w:val="20"/>
        </w:rPr>
        <w:t>ar</w:t>
      </w:r>
      <w:r w:rsidR="000F529B" w:rsidRPr="003779C6">
        <w:rPr>
          <w:rFonts w:ascii="Times New Roman" w:hAnsi="Times New Roman" w:cs="Times New Roman"/>
          <w:sz w:val="20"/>
          <w:szCs w:val="20"/>
        </w:rPr>
        <w:t>.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 18];25:e47748. Disponível em: </w:t>
      </w:r>
      <w:hyperlink r:id="rId37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https://doi.org/10.2196/47748</w:t>
        </w:r>
      </w:hyperlink>
      <w:r w:rsidR="00005B7E" w:rsidRPr="003779C6">
        <w:rPr>
          <w:rFonts w:ascii="Times New Roman" w:hAnsi="Times New Roman" w:cs="Times New Roman"/>
          <w:sz w:val="20"/>
          <w:szCs w:val="20"/>
        </w:rPr>
        <w:t>.</w:t>
      </w:r>
    </w:p>
    <w:p w:rsidR="00005B7E" w:rsidRPr="003779C6" w:rsidRDefault="00005B7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Chang YL, Liu CY, Liu HY, Chang LY, Huang TH. Effectiveness of multiple scenario simulations of acute and critical care for undergraduate nursing students: A quasi-experimental design.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Nurse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. 2022[acesso 2025 Mar 18];118:105526. Disponível em: </w:t>
      </w:r>
      <w:hyperlink r:id="rId38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https://doi.org/10.1016/j.nedt.2022.105526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Valičević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Timar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Z,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Zunic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L,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Cigic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L. Knowledge of sepsis in nursing students - a cross-sectional study.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Int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J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Environ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. 2021[acesso 2025 Mar 18];18(23):12443. Disponível em: </w:t>
      </w:r>
      <w:hyperlink r:id="rId39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https://doi.org/10.3390/ijerph182312443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Harley A, Johnston ANB, Denny KJ,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Keijzers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G,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Crilly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J. Final year nursing student's exposure to education and knowledge about sepsis: a multi-university study.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Nurse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Educ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. 2021 [acesso 2025 Mar 18];97:104703. Disponível em: </w:t>
      </w:r>
      <w:hyperlink r:id="rId40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https://doi.org/10.1016/j.nedt.2020.104703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Gleason K,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Harkless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G, Stanley J, Olson APJ, Graber ML. The critical need for nursing education to address the diagnostic process.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Nurs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Outlook. 2021[acesso 2025 Mar 18];69(3):362-9. Disponível em: </w:t>
      </w:r>
      <w:hyperlink r:id="rId41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https://doi.org/10.1016/j.outlook.2020.12.005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Yang F, Xia J, Han Y, Pang D,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Bai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F, Wang W. Improving clinical judgment by simulation: a randomized trial and validation of the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n-US"/>
        </w:rPr>
        <w:t>Lasater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 clinical judgment rubric in Chinese.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BMC </w:t>
      </w:r>
      <w:proofErr w:type="spellStart"/>
      <w:r w:rsidR="00005B7E" w:rsidRPr="003779C6">
        <w:rPr>
          <w:rFonts w:ascii="Times New Roman" w:hAnsi="Times New Roman" w:cs="Times New Roman"/>
          <w:sz w:val="20"/>
          <w:szCs w:val="20"/>
        </w:rPr>
        <w:t>Med</w:t>
      </w:r>
      <w:proofErr w:type="spellEnd"/>
      <w:r w:rsidR="00005B7E" w:rsidRPr="003779C6">
        <w:rPr>
          <w:rFonts w:ascii="Times New Roman" w:hAnsi="Times New Roman" w:cs="Times New Roman"/>
          <w:sz w:val="20"/>
          <w:szCs w:val="20"/>
        </w:rPr>
        <w:t xml:space="preserve"> Educ. 2019[acesso 2025 Mar 18];19(20):1-6. Disponível em: </w:t>
      </w:r>
      <w:hyperlink r:id="rId42" w:history="1">
        <w:r w:rsidR="00D7644E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https://doi.org/10.1186/s12909-019-1454-9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05B7E" w:rsidRPr="003779C6" w:rsidRDefault="00005B7E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79C6">
        <w:rPr>
          <w:rFonts w:ascii="Times New Roman" w:hAnsi="Times New Roman" w:cs="Times New Roman"/>
          <w:sz w:val="20"/>
          <w:szCs w:val="20"/>
        </w:rPr>
        <w:t xml:space="preserve">Oliveira SN, Santos MR, Martins JCA, Cunha AL. </w:t>
      </w:r>
      <w:r w:rsidR="00445EF6" w:rsidRPr="00445EF6">
        <w:rPr>
          <w:rFonts w:ascii="Times New Roman" w:hAnsi="Times New Roman" w:cs="Times New Roman"/>
          <w:i/>
          <w:iCs/>
          <w:sz w:val="20"/>
          <w:szCs w:val="20"/>
          <w:lang w:val="en-US"/>
        </w:rPr>
        <w:t>Debriefing</w:t>
      </w:r>
      <w:r w:rsidR="00445EF6"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, a dialogical space for the development of reflective thinking in nursing.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Rev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 Gaúcha </w:t>
      </w:r>
      <w:proofErr w:type="spellStart"/>
      <w:r w:rsidRPr="003779C6">
        <w:rPr>
          <w:rFonts w:ascii="Times New Roman" w:hAnsi="Times New Roman" w:cs="Times New Roman"/>
          <w:sz w:val="20"/>
          <w:szCs w:val="20"/>
        </w:rPr>
        <w:t>Enferm</w:t>
      </w:r>
      <w:proofErr w:type="spellEnd"/>
      <w:r w:rsidRPr="003779C6">
        <w:rPr>
          <w:rFonts w:ascii="Times New Roman" w:hAnsi="Times New Roman" w:cs="Times New Roman"/>
          <w:sz w:val="20"/>
          <w:szCs w:val="20"/>
        </w:rPr>
        <w:t xml:space="preserve">. 2024 [acesso 2025 Mar 18];45:e20230041. Disponível em: </w:t>
      </w:r>
      <w:hyperlink r:id="rId43" w:history="1">
        <w:r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https://doi.org/10.1590/1983-1447.2024.20230041.pt</w:t>
        </w:r>
      </w:hyperlink>
    </w:p>
    <w:p w:rsidR="00D7644E" w:rsidRPr="003779C6" w:rsidRDefault="00D7644E" w:rsidP="00D7644E">
      <w:pPr>
        <w:pStyle w:val="PargrafodaLista"/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55FDF" w:rsidRPr="003779C6" w:rsidRDefault="00445EF6" w:rsidP="00005B7E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45EF6">
        <w:rPr>
          <w:rFonts w:ascii="Times New Roman" w:hAnsi="Times New Roman" w:cs="Times New Roman"/>
          <w:sz w:val="20"/>
          <w:szCs w:val="20"/>
          <w:lang w:val="es-ES"/>
        </w:rPr>
        <w:t xml:space="preserve">Rababa M,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s-ES"/>
        </w:rPr>
        <w:t>Hamad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s-ES"/>
        </w:rPr>
        <w:t xml:space="preserve"> DB, </w:t>
      </w:r>
      <w:proofErr w:type="spellStart"/>
      <w:r w:rsidRPr="00445EF6">
        <w:rPr>
          <w:rFonts w:ascii="Times New Roman" w:hAnsi="Times New Roman" w:cs="Times New Roman"/>
          <w:sz w:val="20"/>
          <w:szCs w:val="20"/>
          <w:lang w:val="es-ES"/>
        </w:rPr>
        <w:t>Hayajneh</w:t>
      </w:r>
      <w:proofErr w:type="spellEnd"/>
      <w:r w:rsidRPr="00445EF6">
        <w:rPr>
          <w:rFonts w:ascii="Times New Roman" w:hAnsi="Times New Roman" w:cs="Times New Roman"/>
          <w:sz w:val="20"/>
          <w:szCs w:val="20"/>
          <w:lang w:val="es-ES"/>
        </w:rPr>
        <w:t xml:space="preserve"> AA. </w:t>
      </w:r>
      <w:r w:rsidRPr="00445EF6">
        <w:rPr>
          <w:rFonts w:ascii="Times New Roman" w:hAnsi="Times New Roman" w:cs="Times New Roman"/>
          <w:sz w:val="20"/>
          <w:szCs w:val="20"/>
          <w:lang w:val="en-US"/>
        </w:rPr>
        <w:t xml:space="preserve">Sepsis assessment and management in critically ill adults: a systematic review. </w:t>
      </w:r>
      <w:r w:rsidR="00005B7E" w:rsidRPr="003779C6">
        <w:rPr>
          <w:rFonts w:ascii="Times New Roman" w:hAnsi="Times New Roman" w:cs="Times New Roman"/>
          <w:sz w:val="20"/>
          <w:szCs w:val="20"/>
        </w:rPr>
        <w:t xml:space="preserve">PLOS ONE. 2022 [acesso 2025 Mar 18];17(7):e0270711. Disponível em: </w:t>
      </w:r>
      <w:hyperlink r:id="rId44" w:history="1">
        <w:r w:rsidR="000C7312" w:rsidRPr="003779C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https://doi.org/10.1371/journal.pone.0270711</w:t>
        </w:r>
      </w:hyperlink>
      <w:r w:rsidR="000C7312" w:rsidRPr="003779C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55FDF" w:rsidRPr="003779C6" w:rsidSect="000F1260">
      <w:pgSz w:w="11909" w:h="16834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C2" w:rsidRDefault="006E4DC2" w:rsidP="00D63219">
      <w:pPr>
        <w:spacing w:line="240" w:lineRule="auto"/>
      </w:pPr>
      <w:r>
        <w:separator/>
      </w:r>
    </w:p>
  </w:endnote>
  <w:endnote w:type="continuationSeparator" w:id="0">
    <w:p w:rsidR="006E4DC2" w:rsidRDefault="006E4DC2" w:rsidP="00D63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C2" w:rsidRDefault="006E4DC2" w:rsidP="00D63219">
      <w:pPr>
        <w:spacing w:line="240" w:lineRule="auto"/>
      </w:pPr>
      <w:r>
        <w:separator/>
      </w:r>
    </w:p>
  </w:footnote>
  <w:footnote w:type="continuationSeparator" w:id="0">
    <w:p w:rsidR="006E4DC2" w:rsidRDefault="006E4DC2" w:rsidP="00D63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B61"/>
    <w:multiLevelType w:val="hybridMultilevel"/>
    <w:tmpl w:val="D8ACF862"/>
    <w:lvl w:ilvl="0" w:tplc="70502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D8F"/>
    <w:multiLevelType w:val="hybridMultilevel"/>
    <w:tmpl w:val="013CB2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94269"/>
    <w:multiLevelType w:val="hybridMultilevel"/>
    <w:tmpl w:val="B1708266"/>
    <w:lvl w:ilvl="0" w:tplc="07A003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6632B4">
      <w:numFmt w:val="bullet"/>
      <w:lvlText w:val="•"/>
      <w:lvlJc w:val="left"/>
      <w:pPr>
        <w:ind w:left="985" w:hanging="360"/>
      </w:pPr>
      <w:rPr>
        <w:rFonts w:hint="default"/>
        <w:lang w:val="pt-PT" w:eastAsia="en-US" w:bidi="ar-SA"/>
      </w:rPr>
    </w:lvl>
    <w:lvl w:ilvl="2" w:tplc="93F0D1A4">
      <w:numFmt w:val="bullet"/>
      <w:lvlText w:val="•"/>
      <w:lvlJc w:val="left"/>
      <w:pPr>
        <w:ind w:left="1151" w:hanging="360"/>
      </w:pPr>
      <w:rPr>
        <w:rFonts w:hint="default"/>
        <w:lang w:val="pt-PT" w:eastAsia="en-US" w:bidi="ar-SA"/>
      </w:rPr>
    </w:lvl>
    <w:lvl w:ilvl="3" w:tplc="24E6DFBC">
      <w:numFmt w:val="bullet"/>
      <w:lvlText w:val="•"/>
      <w:lvlJc w:val="left"/>
      <w:pPr>
        <w:ind w:left="1317" w:hanging="360"/>
      </w:pPr>
      <w:rPr>
        <w:rFonts w:hint="default"/>
        <w:lang w:val="pt-PT" w:eastAsia="en-US" w:bidi="ar-SA"/>
      </w:rPr>
    </w:lvl>
    <w:lvl w:ilvl="4" w:tplc="E948306C">
      <w:numFmt w:val="bullet"/>
      <w:lvlText w:val="•"/>
      <w:lvlJc w:val="left"/>
      <w:pPr>
        <w:ind w:left="1483" w:hanging="360"/>
      </w:pPr>
      <w:rPr>
        <w:rFonts w:hint="default"/>
        <w:lang w:val="pt-PT" w:eastAsia="en-US" w:bidi="ar-SA"/>
      </w:rPr>
    </w:lvl>
    <w:lvl w:ilvl="5" w:tplc="150858B0">
      <w:numFmt w:val="bullet"/>
      <w:lvlText w:val="•"/>
      <w:lvlJc w:val="left"/>
      <w:pPr>
        <w:ind w:left="1649" w:hanging="360"/>
      </w:pPr>
      <w:rPr>
        <w:rFonts w:hint="default"/>
        <w:lang w:val="pt-PT" w:eastAsia="en-US" w:bidi="ar-SA"/>
      </w:rPr>
    </w:lvl>
    <w:lvl w:ilvl="6" w:tplc="F2006C12">
      <w:numFmt w:val="bullet"/>
      <w:lvlText w:val="•"/>
      <w:lvlJc w:val="left"/>
      <w:pPr>
        <w:ind w:left="1815" w:hanging="360"/>
      </w:pPr>
      <w:rPr>
        <w:rFonts w:hint="default"/>
        <w:lang w:val="pt-PT" w:eastAsia="en-US" w:bidi="ar-SA"/>
      </w:rPr>
    </w:lvl>
    <w:lvl w:ilvl="7" w:tplc="74B6F53A">
      <w:numFmt w:val="bullet"/>
      <w:lvlText w:val="•"/>
      <w:lvlJc w:val="left"/>
      <w:pPr>
        <w:ind w:left="1981" w:hanging="360"/>
      </w:pPr>
      <w:rPr>
        <w:rFonts w:hint="default"/>
        <w:lang w:val="pt-PT" w:eastAsia="en-US" w:bidi="ar-SA"/>
      </w:rPr>
    </w:lvl>
    <w:lvl w:ilvl="8" w:tplc="32EE575C">
      <w:numFmt w:val="bullet"/>
      <w:lvlText w:val="•"/>
      <w:lvlJc w:val="left"/>
      <w:pPr>
        <w:ind w:left="2147" w:hanging="360"/>
      </w:pPr>
      <w:rPr>
        <w:rFonts w:hint="default"/>
        <w:lang w:val="pt-PT" w:eastAsia="en-US" w:bidi="ar-SA"/>
      </w:rPr>
    </w:lvl>
  </w:abstractNum>
  <w:abstractNum w:abstractNumId="3">
    <w:nsid w:val="63C012B5"/>
    <w:multiLevelType w:val="multilevel"/>
    <w:tmpl w:val="C02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tlas Assessoria Linguística 1">
    <w15:presenceInfo w15:providerId="None" w15:userId="Atlas Assessoria Linguística 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FFD"/>
    <w:rsid w:val="00000C2E"/>
    <w:rsid w:val="00005B7E"/>
    <w:rsid w:val="00010D65"/>
    <w:rsid w:val="0001319E"/>
    <w:rsid w:val="00013B9E"/>
    <w:rsid w:val="0001440E"/>
    <w:rsid w:val="00016879"/>
    <w:rsid w:val="0003626D"/>
    <w:rsid w:val="00037633"/>
    <w:rsid w:val="0004695A"/>
    <w:rsid w:val="00073EB5"/>
    <w:rsid w:val="0007759B"/>
    <w:rsid w:val="00096AE2"/>
    <w:rsid w:val="000A0D8B"/>
    <w:rsid w:val="000A1401"/>
    <w:rsid w:val="000A1A8E"/>
    <w:rsid w:val="000B00BA"/>
    <w:rsid w:val="000B0A81"/>
    <w:rsid w:val="000B10A3"/>
    <w:rsid w:val="000B12C8"/>
    <w:rsid w:val="000B707E"/>
    <w:rsid w:val="000C7312"/>
    <w:rsid w:val="000D62D1"/>
    <w:rsid w:val="000E0D3C"/>
    <w:rsid w:val="000E0F0F"/>
    <w:rsid w:val="000F1260"/>
    <w:rsid w:val="000F529B"/>
    <w:rsid w:val="00102440"/>
    <w:rsid w:val="0010644B"/>
    <w:rsid w:val="00114ED4"/>
    <w:rsid w:val="001335DC"/>
    <w:rsid w:val="001336E0"/>
    <w:rsid w:val="00133D04"/>
    <w:rsid w:val="001414E8"/>
    <w:rsid w:val="00143B5C"/>
    <w:rsid w:val="0014435B"/>
    <w:rsid w:val="00151F93"/>
    <w:rsid w:val="001548C0"/>
    <w:rsid w:val="0016484C"/>
    <w:rsid w:val="00174E28"/>
    <w:rsid w:val="00177189"/>
    <w:rsid w:val="00181763"/>
    <w:rsid w:val="00186866"/>
    <w:rsid w:val="00191AF4"/>
    <w:rsid w:val="001928F9"/>
    <w:rsid w:val="001B099D"/>
    <w:rsid w:val="001B16D5"/>
    <w:rsid w:val="001B4A6F"/>
    <w:rsid w:val="001C00A8"/>
    <w:rsid w:val="001C7EEE"/>
    <w:rsid w:val="001D0908"/>
    <w:rsid w:val="001D11F2"/>
    <w:rsid w:val="001D17CA"/>
    <w:rsid w:val="001D68A8"/>
    <w:rsid w:val="001D7161"/>
    <w:rsid w:val="001D76B0"/>
    <w:rsid w:val="001F3DA9"/>
    <w:rsid w:val="00206F19"/>
    <w:rsid w:val="002122EE"/>
    <w:rsid w:val="00215812"/>
    <w:rsid w:val="0022066E"/>
    <w:rsid w:val="002206CB"/>
    <w:rsid w:val="00231FA0"/>
    <w:rsid w:val="00233CD8"/>
    <w:rsid w:val="00236172"/>
    <w:rsid w:val="00240548"/>
    <w:rsid w:val="0025296F"/>
    <w:rsid w:val="002530E2"/>
    <w:rsid w:val="00256813"/>
    <w:rsid w:val="00265D37"/>
    <w:rsid w:val="00266C27"/>
    <w:rsid w:val="0026709B"/>
    <w:rsid w:val="00272B95"/>
    <w:rsid w:val="002751BC"/>
    <w:rsid w:val="002807A1"/>
    <w:rsid w:val="00282FA7"/>
    <w:rsid w:val="00285AEE"/>
    <w:rsid w:val="00296065"/>
    <w:rsid w:val="002A1A36"/>
    <w:rsid w:val="002A20AA"/>
    <w:rsid w:val="002A3504"/>
    <w:rsid w:val="002A4D6E"/>
    <w:rsid w:val="002C73B0"/>
    <w:rsid w:val="002D191D"/>
    <w:rsid w:val="002E7895"/>
    <w:rsid w:val="002E7D79"/>
    <w:rsid w:val="002F1586"/>
    <w:rsid w:val="00301FDA"/>
    <w:rsid w:val="00302215"/>
    <w:rsid w:val="00302AFA"/>
    <w:rsid w:val="00322876"/>
    <w:rsid w:val="00331F80"/>
    <w:rsid w:val="00336FF9"/>
    <w:rsid w:val="00344EFC"/>
    <w:rsid w:val="00345CF5"/>
    <w:rsid w:val="00351821"/>
    <w:rsid w:val="00370E90"/>
    <w:rsid w:val="0037449B"/>
    <w:rsid w:val="00376E40"/>
    <w:rsid w:val="00376E8B"/>
    <w:rsid w:val="003779C6"/>
    <w:rsid w:val="003811E9"/>
    <w:rsid w:val="00386507"/>
    <w:rsid w:val="003915C5"/>
    <w:rsid w:val="00392A18"/>
    <w:rsid w:val="00395466"/>
    <w:rsid w:val="00396DD0"/>
    <w:rsid w:val="003B02C1"/>
    <w:rsid w:val="003C2C11"/>
    <w:rsid w:val="003C707A"/>
    <w:rsid w:val="003C7184"/>
    <w:rsid w:val="003D181A"/>
    <w:rsid w:val="003D207E"/>
    <w:rsid w:val="003D64AE"/>
    <w:rsid w:val="003E1C1F"/>
    <w:rsid w:val="003E47F3"/>
    <w:rsid w:val="00406069"/>
    <w:rsid w:val="00426D75"/>
    <w:rsid w:val="00426F60"/>
    <w:rsid w:val="00445EF6"/>
    <w:rsid w:val="00450186"/>
    <w:rsid w:val="0046500F"/>
    <w:rsid w:val="004674A0"/>
    <w:rsid w:val="00470866"/>
    <w:rsid w:val="004806E0"/>
    <w:rsid w:val="004810A8"/>
    <w:rsid w:val="004850B8"/>
    <w:rsid w:val="00486B22"/>
    <w:rsid w:val="0048785B"/>
    <w:rsid w:val="00493A4D"/>
    <w:rsid w:val="0049541E"/>
    <w:rsid w:val="00496064"/>
    <w:rsid w:val="004A0C5A"/>
    <w:rsid w:val="004A2607"/>
    <w:rsid w:val="004A429E"/>
    <w:rsid w:val="004A71E0"/>
    <w:rsid w:val="004B403E"/>
    <w:rsid w:val="004B7F7A"/>
    <w:rsid w:val="004C212F"/>
    <w:rsid w:val="004C3742"/>
    <w:rsid w:val="004C6DB7"/>
    <w:rsid w:val="004D5004"/>
    <w:rsid w:val="004E1D06"/>
    <w:rsid w:val="004E4367"/>
    <w:rsid w:val="004E68DE"/>
    <w:rsid w:val="004F0F76"/>
    <w:rsid w:val="004F4FC3"/>
    <w:rsid w:val="005051C2"/>
    <w:rsid w:val="00510309"/>
    <w:rsid w:val="00513442"/>
    <w:rsid w:val="005215FF"/>
    <w:rsid w:val="005243ED"/>
    <w:rsid w:val="00524FF5"/>
    <w:rsid w:val="005332A0"/>
    <w:rsid w:val="005346CE"/>
    <w:rsid w:val="00541300"/>
    <w:rsid w:val="0054472D"/>
    <w:rsid w:val="005465CE"/>
    <w:rsid w:val="00546DBF"/>
    <w:rsid w:val="0055640D"/>
    <w:rsid w:val="00560C0A"/>
    <w:rsid w:val="00567FEE"/>
    <w:rsid w:val="00570EDF"/>
    <w:rsid w:val="0057262E"/>
    <w:rsid w:val="0057288A"/>
    <w:rsid w:val="00574301"/>
    <w:rsid w:val="00586668"/>
    <w:rsid w:val="00594532"/>
    <w:rsid w:val="00595F34"/>
    <w:rsid w:val="0059784C"/>
    <w:rsid w:val="005A2048"/>
    <w:rsid w:val="005B1408"/>
    <w:rsid w:val="005C1E97"/>
    <w:rsid w:val="005C3455"/>
    <w:rsid w:val="005C5069"/>
    <w:rsid w:val="005D1020"/>
    <w:rsid w:val="005E0299"/>
    <w:rsid w:val="005E7A65"/>
    <w:rsid w:val="006066D6"/>
    <w:rsid w:val="00610062"/>
    <w:rsid w:val="00612A43"/>
    <w:rsid w:val="006163DE"/>
    <w:rsid w:val="00625D87"/>
    <w:rsid w:val="006369D3"/>
    <w:rsid w:val="00640B12"/>
    <w:rsid w:val="0064167C"/>
    <w:rsid w:val="006519B7"/>
    <w:rsid w:val="0065789E"/>
    <w:rsid w:val="00670986"/>
    <w:rsid w:val="00683AD6"/>
    <w:rsid w:val="00687CB2"/>
    <w:rsid w:val="006946DD"/>
    <w:rsid w:val="00697EAB"/>
    <w:rsid w:val="006A27E3"/>
    <w:rsid w:val="006A40ED"/>
    <w:rsid w:val="006B52DF"/>
    <w:rsid w:val="006C7BAD"/>
    <w:rsid w:val="006D1C39"/>
    <w:rsid w:val="006D2889"/>
    <w:rsid w:val="006E01C9"/>
    <w:rsid w:val="006E2E6F"/>
    <w:rsid w:val="006E4DC2"/>
    <w:rsid w:val="006F1B7D"/>
    <w:rsid w:val="007020D9"/>
    <w:rsid w:val="00702B3D"/>
    <w:rsid w:val="007119FC"/>
    <w:rsid w:val="00723F40"/>
    <w:rsid w:val="00730A88"/>
    <w:rsid w:val="00731F11"/>
    <w:rsid w:val="007322A9"/>
    <w:rsid w:val="007522FA"/>
    <w:rsid w:val="00755C2C"/>
    <w:rsid w:val="007572FA"/>
    <w:rsid w:val="007614CF"/>
    <w:rsid w:val="00766FA1"/>
    <w:rsid w:val="007746D8"/>
    <w:rsid w:val="0077667F"/>
    <w:rsid w:val="0077702F"/>
    <w:rsid w:val="007814F7"/>
    <w:rsid w:val="00782D41"/>
    <w:rsid w:val="00784B46"/>
    <w:rsid w:val="00795C5F"/>
    <w:rsid w:val="007A4288"/>
    <w:rsid w:val="007A5447"/>
    <w:rsid w:val="007B48A0"/>
    <w:rsid w:val="007B5FCE"/>
    <w:rsid w:val="007B6FD0"/>
    <w:rsid w:val="007E3C50"/>
    <w:rsid w:val="007E4A06"/>
    <w:rsid w:val="007F6B7A"/>
    <w:rsid w:val="008036CB"/>
    <w:rsid w:val="00805100"/>
    <w:rsid w:val="008078BF"/>
    <w:rsid w:val="008125E0"/>
    <w:rsid w:val="00821331"/>
    <w:rsid w:val="00826AA4"/>
    <w:rsid w:val="00832F68"/>
    <w:rsid w:val="0083473B"/>
    <w:rsid w:val="0084373C"/>
    <w:rsid w:val="008502F2"/>
    <w:rsid w:val="00850451"/>
    <w:rsid w:val="00851CFD"/>
    <w:rsid w:val="00854128"/>
    <w:rsid w:val="008558AD"/>
    <w:rsid w:val="00862307"/>
    <w:rsid w:val="00862899"/>
    <w:rsid w:val="00872C9E"/>
    <w:rsid w:val="00876710"/>
    <w:rsid w:val="00880F96"/>
    <w:rsid w:val="00884F3F"/>
    <w:rsid w:val="008851E7"/>
    <w:rsid w:val="00885E50"/>
    <w:rsid w:val="00891AFC"/>
    <w:rsid w:val="008973BD"/>
    <w:rsid w:val="008A18FA"/>
    <w:rsid w:val="008A2872"/>
    <w:rsid w:val="008A6020"/>
    <w:rsid w:val="008B7364"/>
    <w:rsid w:val="008C113E"/>
    <w:rsid w:val="008C2E02"/>
    <w:rsid w:val="008D46F3"/>
    <w:rsid w:val="008D4F82"/>
    <w:rsid w:val="008D79B6"/>
    <w:rsid w:val="008E301A"/>
    <w:rsid w:val="008E3BB1"/>
    <w:rsid w:val="008E48A9"/>
    <w:rsid w:val="008F7E77"/>
    <w:rsid w:val="009038F0"/>
    <w:rsid w:val="00917C0B"/>
    <w:rsid w:val="009211E6"/>
    <w:rsid w:val="009226A9"/>
    <w:rsid w:val="00922B85"/>
    <w:rsid w:val="00923B6F"/>
    <w:rsid w:val="00926042"/>
    <w:rsid w:val="0093068B"/>
    <w:rsid w:val="00934981"/>
    <w:rsid w:val="00936660"/>
    <w:rsid w:val="00943CD6"/>
    <w:rsid w:val="009443DF"/>
    <w:rsid w:val="009467FD"/>
    <w:rsid w:val="00963654"/>
    <w:rsid w:val="00964FD9"/>
    <w:rsid w:val="009676CB"/>
    <w:rsid w:val="00967837"/>
    <w:rsid w:val="00973D5F"/>
    <w:rsid w:val="009864D7"/>
    <w:rsid w:val="0098685E"/>
    <w:rsid w:val="00986B1C"/>
    <w:rsid w:val="00986D3D"/>
    <w:rsid w:val="0098776D"/>
    <w:rsid w:val="009A0044"/>
    <w:rsid w:val="009A4AE9"/>
    <w:rsid w:val="009B04BF"/>
    <w:rsid w:val="009B0CCE"/>
    <w:rsid w:val="009B3828"/>
    <w:rsid w:val="009C1665"/>
    <w:rsid w:val="009D6D03"/>
    <w:rsid w:val="009E0125"/>
    <w:rsid w:val="009E6750"/>
    <w:rsid w:val="009F04E7"/>
    <w:rsid w:val="009F0CFB"/>
    <w:rsid w:val="009F49D5"/>
    <w:rsid w:val="00A06458"/>
    <w:rsid w:val="00A12C3C"/>
    <w:rsid w:val="00A135EC"/>
    <w:rsid w:val="00A160A6"/>
    <w:rsid w:val="00A1743B"/>
    <w:rsid w:val="00A2061E"/>
    <w:rsid w:val="00A21774"/>
    <w:rsid w:val="00A23B19"/>
    <w:rsid w:val="00A3322C"/>
    <w:rsid w:val="00A47DDF"/>
    <w:rsid w:val="00A5020A"/>
    <w:rsid w:val="00A50A9B"/>
    <w:rsid w:val="00A629A0"/>
    <w:rsid w:val="00A815C1"/>
    <w:rsid w:val="00A90539"/>
    <w:rsid w:val="00A90C70"/>
    <w:rsid w:val="00A92DCC"/>
    <w:rsid w:val="00A975B5"/>
    <w:rsid w:val="00AA31D5"/>
    <w:rsid w:val="00AA7ED7"/>
    <w:rsid w:val="00AC2372"/>
    <w:rsid w:val="00AC44F9"/>
    <w:rsid w:val="00AD19D3"/>
    <w:rsid w:val="00AD610E"/>
    <w:rsid w:val="00AE2F1C"/>
    <w:rsid w:val="00AF1D16"/>
    <w:rsid w:val="00AF704A"/>
    <w:rsid w:val="00B047AB"/>
    <w:rsid w:val="00B14939"/>
    <w:rsid w:val="00B345F8"/>
    <w:rsid w:val="00B355AE"/>
    <w:rsid w:val="00B42CF2"/>
    <w:rsid w:val="00B52D9F"/>
    <w:rsid w:val="00B55FDF"/>
    <w:rsid w:val="00B6497B"/>
    <w:rsid w:val="00B72DE4"/>
    <w:rsid w:val="00B764A5"/>
    <w:rsid w:val="00B83876"/>
    <w:rsid w:val="00B93060"/>
    <w:rsid w:val="00BA04EA"/>
    <w:rsid w:val="00BB548C"/>
    <w:rsid w:val="00BC0B5C"/>
    <w:rsid w:val="00BE26AA"/>
    <w:rsid w:val="00BF3441"/>
    <w:rsid w:val="00C037B5"/>
    <w:rsid w:val="00C10988"/>
    <w:rsid w:val="00C40A0C"/>
    <w:rsid w:val="00C4266E"/>
    <w:rsid w:val="00C45B3F"/>
    <w:rsid w:val="00C5438C"/>
    <w:rsid w:val="00C824D0"/>
    <w:rsid w:val="00C833EF"/>
    <w:rsid w:val="00C9521B"/>
    <w:rsid w:val="00C95CED"/>
    <w:rsid w:val="00CA0E80"/>
    <w:rsid w:val="00CA6CC9"/>
    <w:rsid w:val="00CB5A0F"/>
    <w:rsid w:val="00CB7FD1"/>
    <w:rsid w:val="00CC3656"/>
    <w:rsid w:val="00CD26BC"/>
    <w:rsid w:val="00CD2977"/>
    <w:rsid w:val="00CF088E"/>
    <w:rsid w:val="00CF39FF"/>
    <w:rsid w:val="00CF627C"/>
    <w:rsid w:val="00D04357"/>
    <w:rsid w:val="00D1415A"/>
    <w:rsid w:val="00D2265F"/>
    <w:rsid w:val="00D343FD"/>
    <w:rsid w:val="00D558B0"/>
    <w:rsid w:val="00D608DF"/>
    <w:rsid w:val="00D62B1B"/>
    <w:rsid w:val="00D63219"/>
    <w:rsid w:val="00D64348"/>
    <w:rsid w:val="00D674DF"/>
    <w:rsid w:val="00D70A60"/>
    <w:rsid w:val="00D7644E"/>
    <w:rsid w:val="00D85D10"/>
    <w:rsid w:val="00D901D8"/>
    <w:rsid w:val="00D96A69"/>
    <w:rsid w:val="00D972DD"/>
    <w:rsid w:val="00DA250B"/>
    <w:rsid w:val="00DA2AA9"/>
    <w:rsid w:val="00DA713B"/>
    <w:rsid w:val="00DB3962"/>
    <w:rsid w:val="00DC0EC7"/>
    <w:rsid w:val="00DC5C6D"/>
    <w:rsid w:val="00DD7FFD"/>
    <w:rsid w:val="00DF3876"/>
    <w:rsid w:val="00DF6A3E"/>
    <w:rsid w:val="00DF79C6"/>
    <w:rsid w:val="00E006DA"/>
    <w:rsid w:val="00E05F78"/>
    <w:rsid w:val="00E17771"/>
    <w:rsid w:val="00E17BCF"/>
    <w:rsid w:val="00E404A0"/>
    <w:rsid w:val="00E4442A"/>
    <w:rsid w:val="00E64939"/>
    <w:rsid w:val="00E66C2B"/>
    <w:rsid w:val="00E720F8"/>
    <w:rsid w:val="00E7326B"/>
    <w:rsid w:val="00E80A44"/>
    <w:rsid w:val="00E8421C"/>
    <w:rsid w:val="00E84908"/>
    <w:rsid w:val="00E91861"/>
    <w:rsid w:val="00E928C2"/>
    <w:rsid w:val="00E945F6"/>
    <w:rsid w:val="00EB32B0"/>
    <w:rsid w:val="00EB569A"/>
    <w:rsid w:val="00EB6C51"/>
    <w:rsid w:val="00EC3EEE"/>
    <w:rsid w:val="00EC72D3"/>
    <w:rsid w:val="00EE054B"/>
    <w:rsid w:val="00EF5A24"/>
    <w:rsid w:val="00F04FA5"/>
    <w:rsid w:val="00F05C18"/>
    <w:rsid w:val="00F06C12"/>
    <w:rsid w:val="00F101E6"/>
    <w:rsid w:val="00F151AA"/>
    <w:rsid w:val="00F22C88"/>
    <w:rsid w:val="00F22EDE"/>
    <w:rsid w:val="00F248A0"/>
    <w:rsid w:val="00F31121"/>
    <w:rsid w:val="00F33646"/>
    <w:rsid w:val="00F453E3"/>
    <w:rsid w:val="00F46451"/>
    <w:rsid w:val="00F46AF3"/>
    <w:rsid w:val="00F55D72"/>
    <w:rsid w:val="00F74367"/>
    <w:rsid w:val="00F817DD"/>
    <w:rsid w:val="00F950DC"/>
    <w:rsid w:val="00F97F27"/>
    <w:rsid w:val="00FA0A14"/>
    <w:rsid w:val="00FC3F6C"/>
    <w:rsid w:val="00FC5205"/>
    <w:rsid w:val="00FD3D67"/>
    <w:rsid w:val="00FE3CBF"/>
    <w:rsid w:val="00FF0527"/>
    <w:rsid w:val="00FF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E"/>
  </w:style>
  <w:style w:type="paragraph" w:styleId="Ttulo1">
    <w:name w:val="heading 1"/>
    <w:basedOn w:val="Normal"/>
    <w:next w:val="Normal"/>
    <w:uiPriority w:val="9"/>
    <w:qFormat/>
    <w:rsid w:val="001D71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1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1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1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1D71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16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D71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E43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E43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3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7B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29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42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429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A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7572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B764A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19"/>
  </w:style>
  <w:style w:type="paragraph" w:styleId="Rodap">
    <w:name w:val="footer"/>
    <w:basedOn w:val="Normal"/>
    <w:link w:val="Rodap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19"/>
  </w:style>
  <w:style w:type="character" w:customStyle="1" w:styleId="fontstyle01">
    <w:name w:val="fontstyle01"/>
    <w:basedOn w:val="Fontepargpadro"/>
    <w:rsid w:val="00191AF4"/>
    <w:rPr>
      <w:rFonts w:ascii="Verdana" w:hAnsi="Verdan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191AF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5812"/>
    <w:rPr>
      <w:color w:val="0000FF" w:themeColor="hyperlink"/>
      <w:u w:val="single"/>
    </w:rPr>
  </w:style>
  <w:style w:type="character" w:customStyle="1" w:styleId="title-text">
    <w:name w:val="title-text"/>
    <w:basedOn w:val="Fontepargpadro"/>
    <w:rsid w:val="00F31121"/>
  </w:style>
  <w:style w:type="character" w:customStyle="1" w:styleId="cit">
    <w:name w:val="cit"/>
    <w:basedOn w:val="Fontepargpadro"/>
    <w:rsid w:val="00702B3D"/>
  </w:style>
  <w:style w:type="character" w:customStyle="1" w:styleId="citation-doi">
    <w:name w:val="citation-doi"/>
    <w:basedOn w:val="Fontepargpadro"/>
    <w:rsid w:val="00702B3D"/>
  </w:style>
  <w:style w:type="character" w:customStyle="1" w:styleId="secondary-date">
    <w:name w:val="secondary-date"/>
    <w:basedOn w:val="Fontepargpadro"/>
    <w:rsid w:val="00702B3D"/>
  </w:style>
  <w:style w:type="character" w:customStyle="1" w:styleId="article-headerdoilabel">
    <w:name w:val="article-header__doi__label"/>
    <w:basedOn w:val="Fontepargpadro"/>
    <w:rsid w:val="006369D3"/>
  </w:style>
  <w:style w:type="character" w:styleId="nfase">
    <w:name w:val="Emphasis"/>
    <w:basedOn w:val="Fontepargpadro"/>
    <w:uiPriority w:val="20"/>
    <w:qFormat/>
    <w:rsid w:val="00151F93"/>
    <w:rPr>
      <w:i/>
      <w:iCs/>
    </w:rPr>
  </w:style>
  <w:style w:type="character" w:customStyle="1" w:styleId="docid">
    <w:name w:val="doc_id"/>
    <w:basedOn w:val="Fontepargpadro"/>
    <w:rsid w:val="00151F93"/>
  </w:style>
  <w:style w:type="character" w:customStyle="1" w:styleId="label">
    <w:name w:val="label"/>
    <w:basedOn w:val="Fontepargpadro"/>
    <w:rsid w:val="00B55FDF"/>
  </w:style>
  <w:style w:type="character" w:customStyle="1" w:styleId="value">
    <w:name w:val="value"/>
    <w:basedOn w:val="Fontepargpadro"/>
    <w:rsid w:val="00B55FDF"/>
  </w:style>
  <w:style w:type="character" w:styleId="Forte">
    <w:name w:val="Strong"/>
    <w:basedOn w:val="Fontepargpadro"/>
    <w:uiPriority w:val="22"/>
    <w:qFormat/>
    <w:rsid w:val="002D191D"/>
    <w:rPr>
      <w:b/>
      <w:bCs/>
    </w:rPr>
  </w:style>
  <w:style w:type="paragraph" w:styleId="NormalWeb">
    <w:name w:val="Normal (Web)"/>
    <w:basedOn w:val="Normal"/>
    <w:uiPriority w:val="99"/>
    <w:qFormat/>
    <w:rsid w:val="006519B7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customStyle="1" w:styleId="Default">
    <w:name w:val="Default"/>
    <w:rsid w:val="009F0CF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84373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4373C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table" w:customStyle="1" w:styleId="TableNormal2">
    <w:name w:val="Table Normal2"/>
    <w:uiPriority w:val="2"/>
    <w:qFormat/>
    <w:rsid w:val="004A0C5A"/>
    <w:pPr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aliases w:val="DESCRITORES"/>
    <w:uiPriority w:val="1"/>
    <w:qFormat/>
    <w:rsid w:val="004A0C5A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4A0C5A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83A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E5E5E5"/>
            <w:right w:val="none" w:sz="0" w:space="0" w:color="auto"/>
          </w:divBdr>
        </w:div>
        <w:div w:id="1778911407">
          <w:marLeft w:val="0"/>
          <w:marRight w:val="0"/>
          <w:marTop w:val="0"/>
          <w:marBottom w:val="75"/>
          <w:divBdr>
            <w:top w:val="single" w:sz="6" w:space="4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855537548">
          <w:marLeft w:val="0"/>
          <w:marRight w:val="0"/>
          <w:marTop w:val="0"/>
          <w:marBottom w:val="75"/>
          <w:divBdr>
            <w:top w:val="single" w:sz="6" w:space="0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52444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039-131X" TargetMode="External"/><Relationship Id="rId13" Type="http://schemas.openxmlformats.org/officeDocument/2006/relationships/hyperlink" Target="https://orcid.org/0000-0001-9806-2274" TargetMode="External"/><Relationship Id="rId18" Type="http://schemas.openxmlformats.org/officeDocument/2006/relationships/hyperlink" Target="https://doi.org/10.20471/acc.2022.61.s1.11" TargetMode="External"/><Relationship Id="rId26" Type="http://schemas.openxmlformats.org/officeDocument/2006/relationships/hyperlink" Target="https://doi.org/10.1007/s00134-021-06506-y" TargetMode="External"/><Relationship Id="rId39" Type="http://schemas.openxmlformats.org/officeDocument/2006/relationships/hyperlink" Target="https://doi.org/10.3390/ijerph1823124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S1473-3099(17)30322-5" TargetMode="External"/><Relationship Id="rId34" Type="http://schemas.openxmlformats.org/officeDocument/2006/relationships/hyperlink" Target="https://doi.org/10.1016/j.nedt.2024" TargetMode="External"/><Relationship Id="rId42" Type="http://schemas.openxmlformats.org/officeDocument/2006/relationships/hyperlink" Target="https://doi.org/10.1186/s12909-019-1454-9" TargetMode="Externa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8738-2248" TargetMode="External"/><Relationship Id="rId17" Type="http://schemas.openxmlformats.org/officeDocument/2006/relationships/hyperlink" Target="https://doi.org/10.1177/23779608241274224" TargetMode="External"/><Relationship Id="rId25" Type="http://schemas.openxmlformats.org/officeDocument/2006/relationships/hyperlink" Target="https://doi.org/10.1177/08850666231180530" TargetMode="External"/><Relationship Id="rId33" Type="http://schemas.openxmlformats.org/officeDocument/2006/relationships/hyperlink" Target="https://doi.org/10.1590/1518-8345.2936.3187" TargetMode="External"/><Relationship Id="rId38" Type="http://schemas.openxmlformats.org/officeDocument/2006/relationships/hyperlink" Target="https://doi.org/10.1016/j.nedt.2022.105526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35699/2316-9389.2025.58933" TargetMode="External"/><Relationship Id="rId20" Type="http://schemas.openxmlformats.org/officeDocument/2006/relationships/hyperlink" Target="https://doi.org/10.3390/jcm12093188" TargetMode="External"/><Relationship Id="rId29" Type="http://schemas.openxmlformats.org/officeDocument/2006/relationships/hyperlink" Target="https://doi.org/10.1097/NNE.0000000000001828" TargetMode="External"/><Relationship Id="rId41" Type="http://schemas.openxmlformats.org/officeDocument/2006/relationships/hyperlink" Target="https://doi.org/10.1016/j.outlook.2020.12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5381-4815" TargetMode="External"/><Relationship Id="rId24" Type="http://schemas.openxmlformats.org/officeDocument/2006/relationships/hyperlink" Target="https://doi.org/10.1016/j.jhin.2022.01.004" TargetMode="External"/><Relationship Id="rId32" Type="http://schemas.openxmlformats.org/officeDocument/2006/relationships/hyperlink" Target="https://doi.org/10.1590/1983-1447.2018.20220067" TargetMode="External"/><Relationship Id="rId37" Type="http://schemas.openxmlformats.org/officeDocument/2006/relationships/hyperlink" Target="https://doi.org/10.2196/47748" TargetMode="External"/><Relationship Id="rId40" Type="http://schemas.openxmlformats.org/officeDocument/2006/relationships/hyperlink" Target="https://doi.org/10.1016/j.nedt.2020.10470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4-4692-6367" TargetMode="External"/><Relationship Id="rId23" Type="http://schemas.openxmlformats.org/officeDocument/2006/relationships/hyperlink" Target="https://doi.org/10.5205/1981-8963.2021.245947" TargetMode="External"/><Relationship Id="rId28" Type="http://schemas.openxmlformats.org/officeDocument/2006/relationships/hyperlink" Target="https://doi.org/10.3390/jpm13101475" TargetMode="External"/><Relationship Id="rId36" Type="http://schemas.openxmlformats.org/officeDocument/2006/relationships/hyperlink" Target="https://doi.org/10.1590/S1980-220X2019021603638" TargetMode="External"/><Relationship Id="rId10" Type="http://schemas.openxmlformats.org/officeDocument/2006/relationships/hyperlink" Target="https://orcid.org/0000-0001-6119-6762" TargetMode="External"/><Relationship Id="rId19" Type="http://schemas.openxmlformats.org/officeDocument/2006/relationships/hyperlink" Target="https://doi.org/10.3390/epidemiologia5030032" TargetMode="External"/><Relationship Id="rId31" Type="http://schemas.openxmlformats.org/officeDocument/2006/relationships/hyperlink" Target="https://doi.org/10.1002/nop2.1426" TargetMode="External"/><Relationship Id="rId44" Type="http://schemas.openxmlformats.org/officeDocument/2006/relationships/hyperlink" Target="https://doi.org/10.1371/journal.pone.0270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065-5998" TargetMode="External"/><Relationship Id="rId14" Type="http://schemas.openxmlformats.org/officeDocument/2006/relationships/hyperlink" Target="https://orcid.org/0000-0003-0645-0910" TargetMode="External"/><Relationship Id="rId22" Type="http://schemas.openxmlformats.org/officeDocument/2006/relationships/hyperlink" Target="https://doi.org/10.1590/0034-7167-2022-0537pt" TargetMode="External"/><Relationship Id="rId27" Type="http://schemas.openxmlformats.org/officeDocument/2006/relationships/hyperlink" Target="https://doi.org/10.1016/j.nedt.2023.106031" TargetMode="External"/><Relationship Id="rId30" Type="http://schemas.openxmlformats.org/officeDocument/2006/relationships/hyperlink" Target="https://doi.org/10.1016/j.ecns.2024.101561" TargetMode="External"/><Relationship Id="rId35" Type="http://schemas.openxmlformats.org/officeDocument/2006/relationships/hyperlink" Target="https://doi.org/10.1590/2177-9465-EAN-2019-0013" TargetMode="External"/><Relationship Id="rId43" Type="http://schemas.openxmlformats.org/officeDocument/2006/relationships/hyperlink" Target="https://doi.org/10.1590/1983-1447.2024.20230041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862444-29B1-48A5-88E9-0352AF951DC4}">
  <we:reference id="5624965e-844e-4b04-a3f4-3e54dc15fdc9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34FD-51F4-4065-874E-C9B673AB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7150</Words>
  <Characters>38610</Characters>
  <Application>Microsoft Office Word</Application>
  <DocSecurity>0</DocSecurity>
  <Lines>321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Correa Barbosa</dc:creator>
  <cp:lastModifiedBy>Editoração-SEC</cp:lastModifiedBy>
  <cp:revision>4</cp:revision>
  <cp:lastPrinted>2022-02-25T12:58:00Z</cp:lastPrinted>
  <dcterms:created xsi:type="dcterms:W3CDTF">2025-11-10T22:36:00Z</dcterms:created>
  <dcterms:modified xsi:type="dcterms:W3CDTF">2025-11-13T12:39:00Z</dcterms:modified>
</cp:coreProperties>
</file>