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080" w:rsidRPr="00251C26" w:rsidRDefault="00D5236C" w:rsidP="00EB4489">
      <w:pPr>
        <w:spacing w:line="360" w:lineRule="auto"/>
        <w:rPr>
          <w:sz w:val="28"/>
          <w:szCs w:val="28"/>
          <w:lang w:val="es-ES"/>
        </w:rPr>
      </w:pPr>
      <w:r>
        <w:rPr>
          <w:sz w:val="28"/>
          <w:szCs w:val="28"/>
          <w:lang w:val="es-ES"/>
        </w:rPr>
        <w:t>A extensão universitária e sua inserção curricular</w:t>
      </w:r>
      <w:r w:rsidR="00002AD1">
        <w:rPr>
          <w:rStyle w:val="Refdenotaderodap"/>
          <w:sz w:val="28"/>
          <w:szCs w:val="28"/>
          <w:lang w:val="es-ES"/>
        </w:rPr>
        <w:footnoteReference w:id="1"/>
      </w:r>
    </w:p>
    <w:p w:rsidR="00C72B4A" w:rsidRPr="00FA56F7" w:rsidRDefault="00C72B4A" w:rsidP="00EB4489">
      <w:pPr>
        <w:spacing w:line="360" w:lineRule="auto"/>
        <w:rPr>
          <w:sz w:val="28"/>
          <w:szCs w:val="28"/>
          <w:lang w:val="es-ES"/>
        </w:rPr>
      </w:pPr>
    </w:p>
    <w:p w:rsidR="00C72B4A" w:rsidRPr="002606DF" w:rsidRDefault="00D5236C" w:rsidP="002606DF">
      <w:pPr>
        <w:spacing w:after="0" w:line="360" w:lineRule="auto"/>
        <w:rPr>
          <w:sz w:val="24"/>
          <w:szCs w:val="24"/>
          <w:lang w:val="es-ES"/>
        </w:rPr>
      </w:pPr>
      <w:r w:rsidRPr="002606DF">
        <w:rPr>
          <w:sz w:val="24"/>
          <w:szCs w:val="24"/>
          <w:lang w:val="es-ES"/>
        </w:rPr>
        <w:t>Resumo</w:t>
      </w:r>
    </w:p>
    <w:p w:rsidR="00D5236C" w:rsidRDefault="00D5236C" w:rsidP="002606DF">
      <w:pPr>
        <w:spacing w:after="120"/>
        <w:rPr>
          <w:lang w:val="pt-BR"/>
        </w:rPr>
      </w:pPr>
      <w:r w:rsidRPr="00D5236C">
        <w:rPr>
          <w:lang w:val="pt-BR"/>
        </w:rPr>
        <w:t>A extensão universitária se desenvolveu a partir da segunda metade do século XIX como uma terceira missão da universidade, para além do ensino e da pesquisa. Em seu primeiro século de existência, a extensão universitária foi essencialmente difusionista, ou seja, buscava levar os conhecimentos da universidade para os demais setores da sociedade, de modo unidirecional. Uma mudança conceitual profunda se produziu a partir da década de 1960 com base nas críticas e propostas de Paulo Freire. No Brasil, um novo conceito dialógico e participativo de extensão universitária se desenvolveu com intenção de promover mudanças sociais na comunidade não acadêmica, e também causar mudanças importantes na universidade.</w:t>
      </w:r>
      <w:r>
        <w:rPr>
          <w:lang w:val="pt-BR"/>
        </w:rPr>
        <w:t xml:space="preserve"> Uma das implicações deste novo conceito é que, ao transitar por um caminho de duas vias, a extensão universitária adquire implicações pedagógicas, tendo em vista que promove aprendizagem e desenvolvimento em múltiplas dimensões</w:t>
      </w:r>
      <w:r w:rsidR="00B343D5">
        <w:rPr>
          <w:lang w:val="pt-BR"/>
        </w:rPr>
        <w:t xml:space="preserve">. No presente artigo, são discutidas as conexões entre as transformações históricas e conceituais na extensão universitária, se apresentam suas implicações pedagógicas e as experiências institucionais relevantes em termos de inserção da extensão universitária </w:t>
      </w:r>
      <w:r w:rsidR="004017A4">
        <w:rPr>
          <w:lang w:val="pt-BR"/>
        </w:rPr>
        <w:t>na estrutura curricular das universidades latinoamericanas, como uma forma de aprendizagem baseada na experiência. Ao final, alguns entraves para a ampliação da extensão universitária nos currículos (curricularização) são apresentados.</w:t>
      </w:r>
    </w:p>
    <w:p w:rsidR="004017A4" w:rsidRDefault="004017A4" w:rsidP="00D5236C">
      <w:pPr>
        <w:rPr>
          <w:lang w:val="pt-BR"/>
        </w:rPr>
      </w:pPr>
      <w:r w:rsidRPr="002606DF">
        <w:rPr>
          <w:b/>
          <w:lang w:val="pt-BR"/>
        </w:rPr>
        <w:t>Palavras-chave</w:t>
      </w:r>
      <w:r>
        <w:rPr>
          <w:lang w:val="pt-BR"/>
        </w:rPr>
        <w:t>: graduação universitária, aprendizagem em serviço, pedagogia experiencial, universidade, docência.</w:t>
      </w:r>
    </w:p>
    <w:p w:rsidR="004017A4" w:rsidRPr="00D5236C" w:rsidRDefault="004017A4" w:rsidP="00D5236C">
      <w:pPr>
        <w:rPr>
          <w:lang w:val="pt-BR"/>
        </w:rPr>
      </w:pPr>
    </w:p>
    <w:p w:rsidR="00D5236C" w:rsidRPr="002606DF" w:rsidRDefault="00D5236C" w:rsidP="002606DF">
      <w:pPr>
        <w:spacing w:after="0" w:line="360" w:lineRule="auto"/>
        <w:rPr>
          <w:sz w:val="24"/>
          <w:szCs w:val="24"/>
          <w:lang w:val="es-ES"/>
        </w:rPr>
      </w:pPr>
      <w:r w:rsidRPr="002606DF">
        <w:rPr>
          <w:sz w:val="24"/>
          <w:szCs w:val="24"/>
          <w:lang w:val="es-ES"/>
        </w:rPr>
        <w:t>Resumen</w:t>
      </w:r>
    </w:p>
    <w:p w:rsidR="00EC09E7" w:rsidRPr="002606DF" w:rsidRDefault="00EC09E7" w:rsidP="00B343D5">
      <w:pPr>
        <w:rPr>
          <w:lang w:val="es-AR"/>
        </w:rPr>
      </w:pPr>
      <w:r w:rsidRPr="002606DF">
        <w:rPr>
          <w:lang w:val="es-ES"/>
        </w:rPr>
        <w:t xml:space="preserve">La extensión universitaria ha desarrollado a partir de la segunda mitad del siglo XIX como una tercera misión de la universidad, además de la enseñanza y la investigación. En su primer siglo de existencia, la extensión universitaria era esencialmente difusionista, es decir, buscaba llevar los conocimientos de la universidad a los otros sectores de la sociedad, de una manera unidireccional. Un cambio conceptual profundo se produjo a partir de la década de 1960 según las críticas y propuestas de Paulo Freire. En Brasil, un nuevo concepto dialógico y participativo de extensión universitaria fue desarrollado, intentando promover el cambio social en la comunidad no académica y también causar cambios importantes en la universidad. Una de las implicaciones de este nuevo concepto es que, al suceder-se a través de un camino de dos vías, la extensión universitaria adquiere implicaciones pedagógicas, ya que promueve el aprendizaje y el desarrollo en múltiples dimensiones. En este artículo, se discuten las conexiones entre las </w:t>
      </w:r>
      <w:r w:rsidRPr="002606DF">
        <w:rPr>
          <w:lang w:val="es-ES"/>
        </w:rPr>
        <w:lastRenderedPageBreak/>
        <w:t xml:space="preserve">transformaciones históricas y conceptuales en la extensión universitaria, la presentación de sus implicaciones pedagógicas y experiencias institucionales relevantes acerca de la inserción de la extensión universitaria en el plan de estudios en las universidades de América Latina, como una forma de aprendizaje basada en la experiencia. Por último, </w:t>
      </w:r>
      <w:r w:rsidR="00E74E4D" w:rsidRPr="002606DF">
        <w:rPr>
          <w:lang w:val="es-ES"/>
        </w:rPr>
        <w:t xml:space="preserve">se muestran </w:t>
      </w:r>
      <w:r w:rsidRPr="002606DF">
        <w:rPr>
          <w:lang w:val="es-ES"/>
        </w:rPr>
        <w:t xml:space="preserve">algunas de las barreras para la </w:t>
      </w:r>
      <w:r w:rsidR="00E30CCC" w:rsidRPr="002606DF">
        <w:rPr>
          <w:lang w:val="es-ES"/>
        </w:rPr>
        <w:t>incremento</w:t>
      </w:r>
      <w:r w:rsidRPr="002606DF">
        <w:rPr>
          <w:lang w:val="es-ES"/>
        </w:rPr>
        <w:t xml:space="preserve"> de la extensión universitaria en los planes de estudio (curricularización).</w:t>
      </w:r>
    </w:p>
    <w:p w:rsidR="00C72B4A" w:rsidRPr="002606DF" w:rsidRDefault="00EC09E7" w:rsidP="00EB4489">
      <w:pPr>
        <w:spacing w:line="360" w:lineRule="auto"/>
        <w:rPr>
          <w:lang w:val="pt-BR"/>
        </w:rPr>
      </w:pPr>
      <w:r w:rsidRPr="002606DF">
        <w:rPr>
          <w:b/>
          <w:lang w:val="es-AR"/>
        </w:rPr>
        <w:t>Palabras-cl</w:t>
      </w:r>
      <w:r w:rsidR="00C72B4A" w:rsidRPr="002606DF">
        <w:rPr>
          <w:b/>
          <w:lang w:val="es-AR"/>
        </w:rPr>
        <w:t>ave</w:t>
      </w:r>
      <w:r w:rsidR="00E30CCC" w:rsidRPr="002606DF">
        <w:rPr>
          <w:lang w:val="pt-BR"/>
        </w:rPr>
        <w:t xml:space="preserve">: </w:t>
      </w:r>
      <w:r w:rsidR="00E30CCC" w:rsidRPr="002606DF">
        <w:rPr>
          <w:lang w:val="es-ES"/>
        </w:rPr>
        <w:t>carreras universitarias, aprendizaje-servicio</w:t>
      </w:r>
      <w:r w:rsidR="00C72B4A" w:rsidRPr="002606DF">
        <w:rPr>
          <w:lang w:val="es-ES"/>
        </w:rPr>
        <w:t xml:space="preserve">, </w:t>
      </w:r>
      <w:r w:rsidR="00E30CCC" w:rsidRPr="002606DF">
        <w:rPr>
          <w:lang w:val="es-ES"/>
        </w:rPr>
        <w:t>pedagogí</w:t>
      </w:r>
      <w:r w:rsidR="00F96763" w:rsidRPr="002606DF">
        <w:rPr>
          <w:lang w:val="es-ES"/>
        </w:rPr>
        <w:t>a experiencial</w:t>
      </w:r>
      <w:r w:rsidR="00E30CCC" w:rsidRPr="002606DF">
        <w:rPr>
          <w:lang w:val="es-ES"/>
        </w:rPr>
        <w:t>, universidad, doce</w:t>
      </w:r>
      <w:r w:rsidR="00F96763" w:rsidRPr="002606DF">
        <w:rPr>
          <w:lang w:val="es-ES"/>
        </w:rPr>
        <w:t>ncia.</w:t>
      </w:r>
    </w:p>
    <w:p w:rsidR="004556F5" w:rsidRDefault="004556F5" w:rsidP="00EB4489">
      <w:pPr>
        <w:spacing w:line="360" w:lineRule="auto"/>
        <w:rPr>
          <w:sz w:val="24"/>
          <w:szCs w:val="24"/>
          <w:lang w:val="pt-BR"/>
        </w:rPr>
      </w:pPr>
    </w:p>
    <w:p w:rsidR="004556F5" w:rsidRPr="004017A4" w:rsidRDefault="004017A4" w:rsidP="00EB4489">
      <w:pPr>
        <w:spacing w:line="360" w:lineRule="auto"/>
        <w:rPr>
          <w:b/>
          <w:sz w:val="24"/>
          <w:szCs w:val="24"/>
          <w:lang w:val="pt-BR"/>
        </w:rPr>
      </w:pPr>
      <w:r w:rsidRPr="004017A4">
        <w:rPr>
          <w:b/>
          <w:sz w:val="24"/>
          <w:szCs w:val="24"/>
          <w:lang w:val="pt-BR"/>
        </w:rPr>
        <w:t>Introdução</w:t>
      </w:r>
      <w:r w:rsidR="00E30CCC" w:rsidRPr="004017A4">
        <w:rPr>
          <w:b/>
          <w:sz w:val="24"/>
          <w:szCs w:val="24"/>
          <w:lang w:val="pt-BR"/>
        </w:rPr>
        <w:t xml:space="preserve"> – u</w:t>
      </w:r>
      <w:r w:rsidRPr="004017A4">
        <w:rPr>
          <w:b/>
          <w:sz w:val="24"/>
          <w:szCs w:val="24"/>
          <w:lang w:val="pt-BR"/>
        </w:rPr>
        <w:t>m</w:t>
      </w:r>
      <w:r w:rsidR="00E30CCC" w:rsidRPr="004017A4">
        <w:rPr>
          <w:b/>
          <w:sz w:val="24"/>
          <w:szCs w:val="24"/>
          <w:lang w:val="pt-BR"/>
        </w:rPr>
        <w:t>a</w:t>
      </w:r>
      <w:r w:rsidR="004556F5" w:rsidRPr="004017A4">
        <w:rPr>
          <w:b/>
          <w:sz w:val="24"/>
          <w:szCs w:val="24"/>
          <w:lang w:val="pt-BR"/>
        </w:rPr>
        <w:t xml:space="preserve"> breve </w:t>
      </w:r>
      <w:r w:rsidRPr="004017A4">
        <w:rPr>
          <w:b/>
          <w:sz w:val="24"/>
          <w:szCs w:val="24"/>
          <w:lang w:val="pt-BR"/>
        </w:rPr>
        <w:t>resenh</w:t>
      </w:r>
      <w:r w:rsidR="00E30CCC" w:rsidRPr="004017A4">
        <w:rPr>
          <w:b/>
          <w:sz w:val="24"/>
          <w:szCs w:val="24"/>
          <w:lang w:val="pt-BR"/>
        </w:rPr>
        <w:t>a histórica</w:t>
      </w:r>
    </w:p>
    <w:p w:rsidR="004017A4" w:rsidRPr="00B31B6F" w:rsidRDefault="004017A4" w:rsidP="00EB4489">
      <w:pPr>
        <w:autoSpaceDE w:val="0"/>
        <w:autoSpaceDN w:val="0"/>
        <w:adjustRightInd w:val="0"/>
        <w:spacing w:after="120" w:line="360" w:lineRule="auto"/>
        <w:jc w:val="both"/>
        <w:rPr>
          <w:rFonts w:cs="Times New Roman"/>
          <w:lang w:val="pt-BR"/>
        </w:rPr>
      </w:pPr>
      <w:r w:rsidRPr="004017A4">
        <w:rPr>
          <w:rFonts w:cs="Times New Roman"/>
          <w:lang w:val="pt-BR"/>
        </w:rPr>
        <w:t>A extensão universitária surge no século XIX a partir das universidades populares na Europa, e através das universidades de concessão de terras (“Land Grant Universities”) nos Estados Unidos. As universidades populares na Europa surgiram com o objetivo de disseminação de conhecimentos técnicos para o povo (GURGEL</w:t>
      </w:r>
      <w:r w:rsidR="003222D2">
        <w:rPr>
          <w:rFonts w:cs="Times New Roman"/>
          <w:lang w:val="pt-BR"/>
        </w:rPr>
        <w:t>,</w:t>
      </w:r>
      <w:r w:rsidRPr="004017A4">
        <w:rPr>
          <w:rFonts w:cs="Times New Roman"/>
          <w:lang w:val="pt-BR"/>
        </w:rPr>
        <w:t xml:space="preserve"> 1986). Não obstante, a extensão universitária no Velho Mundo não apresentou continuidade, nem alcançou o reconhecimento institucional </w:t>
      </w:r>
      <w:r w:rsidRPr="00B31B6F">
        <w:rPr>
          <w:rFonts w:cs="Times New Roman"/>
          <w:lang w:val="pt-BR"/>
        </w:rPr>
        <w:t xml:space="preserve">como atividade universitária em igual medida que o ensino e a pesquisa. </w:t>
      </w:r>
      <w:r w:rsidR="00B31B6F" w:rsidRPr="00B31B6F">
        <w:rPr>
          <w:rFonts w:cs="Times New Roman"/>
          <w:lang w:val="pt-BR"/>
        </w:rPr>
        <w:t>Atualmente na Europa, a extensão universitária é denominada eventualmente com a ‘terceira missão’ (TEIXEIRA, 2015) e, muitas vezes, se confunde com outros conceitos como ‘pes</w:t>
      </w:r>
      <w:r w:rsidR="00B31B6F">
        <w:rPr>
          <w:rFonts w:cs="Times New Roman"/>
          <w:lang w:val="pt-BR"/>
        </w:rPr>
        <w:t>q</w:t>
      </w:r>
      <w:r w:rsidR="00B31B6F" w:rsidRPr="00B31B6F">
        <w:rPr>
          <w:rFonts w:cs="Times New Roman"/>
          <w:lang w:val="pt-BR"/>
        </w:rPr>
        <w:t>uisa participativa’ (</w:t>
      </w:r>
      <w:r w:rsidR="00B31B6F" w:rsidRPr="00B31B6F">
        <w:rPr>
          <w:rFonts w:cs="Times New Roman"/>
          <w:i/>
          <w:lang w:val="pt-BR"/>
        </w:rPr>
        <w:t>participatory research</w:t>
      </w:r>
      <w:r w:rsidR="00B31B6F" w:rsidRPr="00B31B6F">
        <w:rPr>
          <w:rFonts w:cs="Times New Roman"/>
          <w:lang w:val="pt-BR"/>
        </w:rPr>
        <w:t>; LUCIO-VILLEGAS, 2016) ou ‘aprendizagem em serviço’ (IBARROLA-GARCÍA; GARDE, 2016).</w:t>
      </w:r>
    </w:p>
    <w:p w:rsidR="00B31B6F" w:rsidRDefault="00B31B6F" w:rsidP="00EB4489">
      <w:pPr>
        <w:autoSpaceDE w:val="0"/>
        <w:autoSpaceDN w:val="0"/>
        <w:adjustRightInd w:val="0"/>
        <w:spacing w:after="120" w:line="360" w:lineRule="auto"/>
        <w:jc w:val="both"/>
        <w:rPr>
          <w:rFonts w:cs="Times New Roman"/>
          <w:lang w:val="pt-BR"/>
        </w:rPr>
      </w:pPr>
      <w:r w:rsidRPr="00B31B6F">
        <w:rPr>
          <w:rFonts w:cs="Times New Roman"/>
          <w:lang w:val="pt-BR"/>
        </w:rPr>
        <w:t xml:space="preserve">No </w:t>
      </w:r>
      <w:r>
        <w:rPr>
          <w:rFonts w:cs="Times New Roman"/>
          <w:lang w:val="pt-BR"/>
        </w:rPr>
        <w:t>territó</w:t>
      </w:r>
      <w:r w:rsidRPr="00B31B6F">
        <w:rPr>
          <w:rFonts w:cs="Times New Roman"/>
          <w:lang w:val="pt-BR"/>
        </w:rPr>
        <w:t xml:space="preserve">rio estadunidense, por </w:t>
      </w:r>
      <w:r>
        <w:rPr>
          <w:rFonts w:cs="Times New Roman"/>
          <w:lang w:val="pt-BR"/>
        </w:rPr>
        <w:t>s</w:t>
      </w:r>
      <w:r w:rsidRPr="00B31B6F">
        <w:rPr>
          <w:rFonts w:cs="Times New Roman"/>
          <w:lang w:val="pt-BR"/>
        </w:rPr>
        <w:t>ua vez, a extensão universitária se converteu em elemento da proposta para popularizar a universidade. A Universidade de Wiscosin iniciou seus trabalhos extensionistas em 1880, com a cr</w:t>
      </w:r>
      <w:r>
        <w:rPr>
          <w:rFonts w:cs="Times New Roman"/>
          <w:lang w:val="pt-BR"/>
        </w:rPr>
        <w:t>i</w:t>
      </w:r>
      <w:r w:rsidRPr="00B31B6F">
        <w:rPr>
          <w:rFonts w:cs="Times New Roman"/>
          <w:lang w:val="pt-BR"/>
        </w:rPr>
        <w:t>ação de cursos sobre temas agrícolas para os trabalhadores rurais (ZIEREN; STODDARD, 2004).</w:t>
      </w:r>
      <w:r>
        <w:rPr>
          <w:rFonts w:cs="Times New Roman"/>
          <w:lang w:val="pt-BR"/>
        </w:rPr>
        <w:t xml:space="preserve"> </w:t>
      </w:r>
    </w:p>
    <w:p w:rsidR="00B31B6F" w:rsidRPr="00B31B6F" w:rsidRDefault="00B31B6F" w:rsidP="00EB4489">
      <w:pPr>
        <w:autoSpaceDE w:val="0"/>
        <w:autoSpaceDN w:val="0"/>
        <w:adjustRightInd w:val="0"/>
        <w:spacing w:after="120" w:line="360" w:lineRule="auto"/>
        <w:jc w:val="both"/>
        <w:rPr>
          <w:rFonts w:cs="Times New Roman"/>
          <w:lang w:val="pt-BR"/>
        </w:rPr>
      </w:pPr>
      <w:r w:rsidRPr="00B31B6F">
        <w:rPr>
          <w:rFonts w:cs="Times New Roman"/>
          <w:lang w:val="pt-BR"/>
        </w:rPr>
        <w:t>O exato momento histórico no qual a extensão universitária se iniciou no Brasil é motivo de controvérsia (SOUSA, 2010). Entretanto, pode-se dizer que seu estabelecimento mais efetivo ocorre com o surgimento (tardio) da própria universidade no Brasil, durante o século XX. Uma das primeiras experiências de extensão universitária foi desenvolvida pela Universidade Livre de São Paulo, nos anos 1910, na forma de cursos populares. Todavia, foram ofertados de forma assistemática e não atraíram interesse popular (GURGEL, 1986).</w:t>
      </w:r>
      <w:r w:rsidRPr="00AD30E2">
        <w:rPr>
          <w:rFonts w:cs="Times New Roman"/>
          <w:lang w:val="es-ES"/>
        </w:rPr>
        <w:t xml:space="preserve">   </w:t>
      </w:r>
    </w:p>
    <w:p w:rsidR="00B31B6F" w:rsidRDefault="00925A89" w:rsidP="00EB4489">
      <w:pPr>
        <w:autoSpaceDE w:val="0"/>
        <w:autoSpaceDN w:val="0"/>
        <w:adjustRightInd w:val="0"/>
        <w:spacing w:after="120" w:line="360" w:lineRule="auto"/>
        <w:jc w:val="both"/>
        <w:rPr>
          <w:rFonts w:cs="Times New Roman"/>
          <w:lang w:val="pt-BR"/>
        </w:rPr>
      </w:pPr>
      <w:r w:rsidRPr="00925A89">
        <w:rPr>
          <w:rFonts w:cs="Times New Roman"/>
          <w:lang w:val="pt-BR"/>
        </w:rPr>
        <w:t>Outra experiência precur</w:t>
      </w:r>
      <w:r>
        <w:rPr>
          <w:rFonts w:cs="Times New Roman"/>
          <w:lang w:val="pt-BR"/>
        </w:rPr>
        <w:t>sora nasce</w:t>
      </w:r>
      <w:r w:rsidRPr="00925A89">
        <w:rPr>
          <w:rFonts w:cs="Times New Roman"/>
          <w:lang w:val="pt-BR"/>
        </w:rPr>
        <w:t>u junto com a ‘Escola Superior de Agricultura e Veterinária’ (ESAV), criada em 1922 e que mais tarde daria origem à Universidade Federal de Viçosa (UFV)</w:t>
      </w:r>
      <w:r>
        <w:rPr>
          <w:rFonts w:cs="Times New Roman"/>
          <w:lang w:val="pt-BR"/>
        </w:rPr>
        <w:t xml:space="preserve">, </w:t>
      </w:r>
      <w:r>
        <w:rPr>
          <w:rFonts w:cs="Times New Roman"/>
          <w:lang w:val="pt-BR"/>
        </w:rPr>
        <w:lastRenderedPageBreak/>
        <w:t>em</w:t>
      </w:r>
      <w:r w:rsidRPr="00925A89">
        <w:rPr>
          <w:rFonts w:cs="Times New Roman"/>
          <w:lang w:val="pt-BR"/>
        </w:rPr>
        <w:t xml:space="preserve"> 1969. Para estruturar e dirigir a ESAV, cujo modelo de ensino seria estabelecido nos moldes dos “Land Grant Colleges” dos Estados Unidos, foi contratado o profe</w:t>
      </w:r>
      <w:r>
        <w:rPr>
          <w:rFonts w:cs="Times New Roman"/>
          <w:lang w:val="pt-BR"/>
        </w:rPr>
        <w:t>s</w:t>
      </w:r>
      <w:r w:rsidRPr="00925A89">
        <w:rPr>
          <w:rFonts w:cs="Times New Roman"/>
          <w:lang w:val="pt-BR"/>
        </w:rPr>
        <w:t xml:space="preserve">sor </w:t>
      </w:r>
      <w:r>
        <w:rPr>
          <w:rFonts w:cs="Times New Roman"/>
          <w:lang w:val="es-ES"/>
        </w:rPr>
        <w:t>estadunidense</w:t>
      </w:r>
      <w:r w:rsidRPr="00AC27E2">
        <w:rPr>
          <w:rFonts w:cs="Times New Roman"/>
          <w:lang w:val="es-ES"/>
        </w:rPr>
        <w:t xml:space="preserve"> Peter Henry Rolfs</w:t>
      </w:r>
      <w:r>
        <w:rPr>
          <w:rFonts w:cs="Times New Roman"/>
          <w:lang w:val="es-ES"/>
        </w:rPr>
        <w:t>,</w:t>
      </w:r>
      <w:r>
        <w:rPr>
          <w:rFonts w:cs="Times New Roman"/>
          <w:lang w:val="pt-BR"/>
        </w:rPr>
        <w:t xml:space="preserve"> oriundo da Universidade da Flórida (EUA). Além de diretor, o professor Rolfs se encarregou de elaborar os planos das construções e programas de ensino. Assim, a indissociabilidade entre ensino, pesquisa e extensão, já praticada no modelo estadunidense dos </w:t>
      </w:r>
      <w:r w:rsidRPr="00925A89">
        <w:rPr>
          <w:rFonts w:cs="Times New Roman"/>
          <w:i/>
          <w:lang w:val="pt-BR"/>
        </w:rPr>
        <w:t>college</w:t>
      </w:r>
      <w:r>
        <w:rPr>
          <w:rFonts w:cs="Times New Roman"/>
          <w:lang w:val="pt-BR"/>
        </w:rPr>
        <w:t xml:space="preserve">, foi incorporada aos estatutos da </w:t>
      </w:r>
      <w:r>
        <w:rPr>
          <w:rFonts w:cs="Times New Roman"/>
          <w:lang w:val="es-ES"/>
        </w:rPr>
        <w:t>ESAV</w:t>
      </w:r>
      <w:r w:rsidRPr="00AC27E2">
        <w:rPr>
          <w:rFonts w:cs="Times New Roman"/>
          <w:lang w:val="es-ES"/>
        </w:rPr>
        <w:t xml:space="preserve"> (ARRUDA, 2003).</w:t>
      </w:r>
      <w:r>
        <w:rPr>
          <w:rFonts w:cs="Times New Roman"/>
          <w:lang w:val="pt-BR"/>
        </w:rPr>
        <w:t xml:space="preserve"> Observa-se, portanto, que a extensão universitária brasileira se estabelece sob forte influência do </w:t>
      </w:r>
      <w:r w:rsidRPr="00AC27E2">
        <w:rPr>
          <w:rFonts w:cs="Times New Roman"/>
          <w:lang w:val="es-ES"/>
        </w:rPr>
        <w:t>modelo estadunidense</w:t>
      </w:r>
      <w:r>
        <w:rPr>
          <w:rFonts w:cs="Times New Roman"/>
          <w:lang w:val="pt-BR"/>
        </w:rPr>
        <w:t xml:space="preserve">, que também influencia a formação dos serviços de extensão rural e das propostas de modernização da agricultura no Brasil </w:t>
      </w:r>
      <w:r w:rsidRPr="00AC27E2">
        <w:rPr>
          <w:rFonts w:cs="Times New Roman"/>
          <w:lang w:val="es-ES"/>
        </w:rPr>
        <w:t>(SILVA, 2015).</w:t>
      </w:r>
      <w:r>
        <w:rPr>
          <w:rFonts w:cs="Times New Roman"/>
          <w:lang w:val="pt-BR"/>
        </w:rPr>
        <w:t xml:space="preserve"> </w:t>
      </w:r>
    </w:p>
    <w:p w:rsidR="00925A89" w:rsidRDefault="00925A89" w:rsidP="00EB4489">
      <w:pPr>
        <w:autoSpaceDE w:val="0"/>
        <w:autoSpaceDN w:val="0"/>
        <w:adjustRightInd w:val="0"/>
        <w:spacing w:after="120" w:line="360" w:lineRule="auto"/>
        <w:jc w:val="both"/>
        <w:rPr>
          <w:rFonts w:cs="Times New Roman"/>
          <w:lang w:val="pt-BR"/>
        </w:rPr>
      </w:pPr>
      <w:r>
        <w:rPr>
          <w:rFonts w:cs="Times New Roman"/>
          <w:lang w:val="pt-BR"/>
        </w:rPr>
        <w:t xml:space="preserve">Como conseqüência destas primeiras iniciativas, a extensão universitária passa a ser oficialmente reconhecida no Estatuto das Universidades, </w:t>
      </w:r>
      <w:r w:rsidRPr="008143F0">
        <w:rPr>
          <w:rFonts w:cs="Times New Roman"/>
          <w:lang w:val="es-ES"/>
        </w:rPr>
        <w:t>decreto 19.851 de 1931</w:t>
      </w:r>
      <w:r>
        <w:rPr>
          <w:rFonts w:cs="Times New Roman"/>
          <w:lang w:val="pt-BR"/>
        </w:rPr>
        <w:t xml:space="preserve">. Entretanto, seu caráter se restringe a </w:t>
      </w:r>
      <w:r w:rsidRPr="008143F0">
        <w:rPr>
          <w:rFonts w:cs="Times New Roman"/>
          <w:lang w:val="es-ES"/>
        </w:rPr>
        <w:t>“difusão dos conhecimentos úteis, à ajuda individual ou coletiva, à solução de problemas sociais ou à propagação de ideias e princípios. (...) A extensão universitária será efetivada por meio de cursos e conferências de caráter educacional ou utilitário, uns e outros organizados pelos diversos institutos da universidade, com prévia autorização do conselho universitário” (BRASIL, 1931).</w:t>
      </w:r>
    </w:p>
    <w:p w:rsidR="00925A89" w:rsidRPr="00925A89" w:rsidRDefault="00925A89" w:rsidP="00EB4489">
      <w:pPr>
        <w:autoSpaceDE w:val="0"/>
        <w:autoSpaceDN w:val="0"/>
        <w:adjustRightInd w:val="0"/>
        <w:spacing w:after="120" w:line="360" w:lineRule="auto"/>
        <w:jc w:val="both"/>
        <w:rPr>
          <w:rFonts w:cs="Times New Roman"/>
          <w:lang w:val="pt-BR"/>
        </w:rPr>
      </w:pPr>
      <w:r>
        <w:rPr>
          <w:rFonts w:cs="Times New Roman"/>
          <w:lang w:val="pt-BR"/>
        </w:rPr>
        <w:t xml:space="preserve">A extensão universitária no Brasil tem uma mudança conceitual importante a partir das obras de </w:t>
      </w:r>
      <w:r>
        <w:rPr>
          <w:rFonts w:cs="Garamond"/>
          <w:lang w:val="es-ES"/>
        </w:rPr>
        <w:t>Paulo Freire nos an</w:t>
      </w:r>
      <w:r w:rsidRPr="00B467A6">
        <w:rPr>
          <w:rFonts w:cs="Garamond"/>
          <w:lang w:val="es-ES"/>
        </w:rPr>
        <w:t>os 1960 (FREIRE, 1997, 2011)</w:t>
      </w:r>
      <w:r>
        <w:rPr>
          <w:rFonts w:cs="Times New Roman"/>
          <w:lang w:val="pt-BR"/>
        </w:rPr>
        <w:t>, que questiona a concepção unidirecional ou difusionista de ensino e extensão, tanto nas escolas com na relação entre academia e público não acadêmico.</w:t>
      </w:r>
    </w:p>
    <w:p w:rsidR="00A043F2" w:rsidRPr="00BA5CF5" w:rsidRDefault="00A043F2" w:rsidP="00A043F2">
      <w:pPr>
        <w:autoSpaceDE w:val="0"/>
        <w:autoSpaceDN w:val="0"/>
        <w:adjustRightInd w:val="0"/>
        <w:spacing w:after="120" w:line="360" w:lineRule="auto"/>
        <w:ind w:left="1701"/>
        <w:jc w:val="both"/>
        <w:rPr>
          <w:lang w:val="pt-BR"/>
        </w:rPr>
      </w:pPr>
      <w:r w:rsidRPr="00BA5CF5">
        <w:rPr>
          <w:lang w:val="pt-BR"/>
        </w:rPr>
        <w:t>É, talvez, como num paradoxo, que a extensão universitária constituiu suas mais significativas referências e práticas, a partir da denúncia de Paulo Freire do conceito de “extensão”, o que obrigou os que quiseram continuar a usar o termo a uma radical reconceitualização, que incorporou o essencial da perspectiva de Paulo Freire (DE PAULA, 2013).</w:t>
      </w:r>
    </w:p>
    <w:p w:rsidR="00A043F2" w:rsidRPr="00BA5CF5" w:rsidRDefault="00A043F2" w:rsidP="00A043F2">
      <w:pPr>
        <w:autoSpaceDE w:val="0"/>
        <w:autoSpaceDN w:val="0"/>
        <w:adjustRightInd w:val="0"/>
        <w:spacing w:after="120" w:line="360" w:lineRule="auto"/>
        <w:jc w:val="both"/>
        <w:rPr>
          <w:lang w:val="pt-BR"/>
        </w:rPr>
      </w:pPr>
      <w:r w:rsidRPr="00BA5CF5">
        <w:rPr>
          <w:lang w:val="pt-BR"/>
        </w:rPr>
        <w:t>As idéias de Freire são incorporadas ao conceito de extensão universitária no Brasil pelo esforço coletivo congregado através do Fórum de Pró-Reitores de Extensão das Universidades Públicas Brasileiras:</w:t>
      </w:r>
    </w:p>
    <w:p w:rsidR="00A043F2" w:rsidRPr="00BA5CF5" w:rsidRDefault="00A043F2" w:rsidP="00A043F2">
      <w:pPr>
        <w:autoSpaceDE w:val="0"/>
        <w:autoSpaceDN w:val="0"/>
        <w:adjustRightInd w:val="0"/>
        <w:spacing w:after="120" w:line="360" w:lineRule="auto"/>
        <w:ind w:left="1701"/>
        <w:jc w:val="both"/>
        <w:rPr>
          <w:lang w:val="pt-BR"/>
        </w:rPr>
      </w:pPr>
      <w:r w:rsidRPr="00BA5CF5">
        <w:rPr>
          <w:rFonts w:cs="TimesNewRomanPSMT"/>
          <w:lang w:val="pt-BR"/>
        </w:rPr>
        <w:t xml:space="preserve">A Extensão Universitária é o processo educativo, cultural e científico que articula o Ensino e a Pesquisa de forma indissociável e viabiliza a </w:t>
      </w:r>
      <w:r w:rsidRPr="00BA5CF5">
        <w:rPr>
          <w:rFonts w:cs="TimesNewRomanPS-BoldMT"/>
          <w:bCs/>
          <w:lang w:val="pt-BR"/>
        </w:rPr>
        <w:t xml:space="preserve">relação transformadora </w:t>
      </w:r>
      <w:r w:rsidRPr="00BA5CF5">
        <w:rPr>
          <w:rFonts w:cs="TimesNewRomanPSMT"/>
          <w:lang w:val="pt-BR"/>
        </w:rPr>
        <w:t xml:space="preserve">entre Universidade e </w:t>
      </w:r>
      <w:r w:rsidRPr="00BA5CF5">
        <w:rPr>
          <w:rFonts w:cs="TimesNewRomanPS-BoldMT"/>
          <w:bCs/>
          <w:lang w:val="pt-BR"/>
        </w:rPr>
        <w:t>Sociedade</w:t>
      </w:r>
      <w:r w:rsidRPr="00BA5CF5">
        <w:rPr>
          <w:rFonts w:cs="TimesNewRomanPSMT"/>
          <w:lang w:val="pt-BR"/>
        </w:rPr>
        <w:t xml:space="preserve">. [...] é uma via de </w:t>
      </w:r>
      <w:r w:rsidRPr="00BA5CF5">
        <w:rPr>
          <w:rFonts w:cs="TimesNewRomanPS-BoldMT"/>
          <w:bCs/>
          <w:lang w:val="pt-BR"/>
        </w:rPr>
        <w:t>mão</w:t>
      </w:r>
      <w:r>
        <w:rPr>
          <w:rFonts w:cs="TimesNewRomanPS-BoldMT"/>
          <w:bCs/>
          <w:lang w:val="pt-BR"/>
        </w:rPr>
        <w:t>-</w:t>
      </w:r>
      <w:r w:rsidRPr="00BA5CF5">
        <w:rPr>
          <w:rFonts w:cs="TimesNewRomanPS-BoldMT"/>
          <w:bCs/>
          <w:lang w:val="pt-BR"/>
        </w:rPr>
        <w:t>dupla</w:t>
      </w:r>
      <w:r w:rsidRPr="00BA5CF5">
        <w:rPr>
          <w:rFonts w:cs="TimesNewRomanPSMT"/>
          <w:lang w:val="pt-BR"/>
        </w:rPr>
        <w:t xml:space="preserve">, com trânsito assegurado à comunidade acadêmica, que encontrará, </w:t>
      </w:r>
      <w:r w:rsidRPr="00BA5CF5">
        <w:rPr>
          <w:rFonts w:cs="TimesNewRomanPSMT"/>
          <w:lang w:val="pt-BR"/>
        </w:rPr>
        <w:lastRenderedPageBreak/>
        <w:t xml:space="preserve">na sociedade, a oportunidade de elaboração da práxis de um conhecimento </w:t>
      </w:r>
      <w:r w:rsidRPr="00BA5CF5">
        <w:rPr>
          <w:rFonts w:cs="TimesNewRomanPS-BoldMT"/>
          <w:bCs/>
          <w:lang w:val="pt-BR"/>
        </w:rPr>
        <w:t xml:space="preserve">aprendizado </w:t>
      </w:r>
      <w:r w:rsidRPr="00BA5CF5">
        <w:rPr>
          <w:rFonts w:cs="TimesNewRomanPSMT"/>
          <w:lang w:val="pt-BR"/>
        </w:rPr>
        <w:t>que, submetido à reflexão teórica, ser</w:t>
      </w:r>
      <w:r>
        <w:rPr>
          <w:rFonts w:cs="TimesNewRomanPSMT"/>
          <w:lang w:val="pt-BR"/>
        </w:rPr>
        <w:t>á acrescido àquele conhecimento</w:t>
      </w:r>
      <w:r w:rsidRPr="00BA5CF5">
        <w:rPr>
          <w:rFonts w:cs="TimesNewRomanPSMT"/>
          <w:lang w:val="pt-BR"/>
        </w:rPr>
        <w:t xml:space="preserve"> (FORPROEX, 1987).</w:t>
      </w:r>
    </w:p>
    <w:p w:rsidR="00A043F2" w:rsidRPr="00BA5CF5" w:rsidRDefault="00A043F2" w:rsidP="00A043F2">
      <w:pPr>
        <w:autoSpaceDE w:val="0"/>
        <w:autoSpaceDN w:val="0"/>
        <w:adjustRightInd w:val="0"/>
        <w:spacing w:after="120" w:line="360" w:lineRule="auto"/>
        <w:jc w:val="both"/>
        <w:rPr>
          <w:lang w:val="pt-BR"/>
        </w:rPr>
      </w:pPr>
      <w:r w:rsidRPr="00BA5CF5">
        <w:rPr>
          <w:lang w:val="pt-BR"/>
        </w:rPr>
        <w:t>Surge, portanto, uma nova concepção de extensão universitária, que abre caminho para repensar a atuação social da universidade e o próprio sentido da extensão. Além da evidente relevância da extensão universitária para a democratização dos avanços da ciência e da cultura acadêmica, ampliando o acesso à educação, a extensão passa também a ser compreendida como uma possibilidade de desenvolvimento acadêmico, gerando novos conhecimentos ou inspirando novas atividades de pesquisa (SHELTON et al., 2015), ou promovendo uma formação profissional mais qualificada (COELHO, 2014).</w:t>
      </w:r>
    </w:p>
    <w:p w:rsidR="00A043F2" w:rsidRPr="00BA5CF5" w:rsidRDefault="00A043F2" w:rsidP="00A043F2">
      <w:pPr>
        <w:autoSpaceDE w:val="0"/>
        <w:autoSpaceDN w:val="0"/>
        <w:adjustRightInd w:val="0"/>
        <w:spacing w:after="120" w:line="360" w:lineRule="auto"/>
        <w:ind w:left="1701"/>
        <w:jc w:val="both"/>
        <w:rPr>
          <w:lang w:val="pt-BR"/>
        </w:rPr>
      </w:pPr>
      <w:r w:rsidRPr="00BA5CF5">
        <w:rPr>
          <w:lang w:val="pt-BR"/>
        </w:rPr>
        <w:t>A Extensão Universitária tornou-se o instrumento por excelência de inter-relação da Universidade com a sociedade, de oxigenação da própria Universidade, de democratização do conhecimento acadêmico, assim como de (re)produção desse conhecimento por meio da troca de saberes com as comunidades. Uma via de mão-dupla ou, como se definiu nos anos seguintes, uma forma de “interação dialógica” que traz múltiplas possibilidades de transformação da sociedade e da própria Universidade Pública (FORPROEX, 2012).</w:t>
      </w:r>
    </w:p>
    <w:p w:rsidR="00A043F2" w:rsidRDefault="00A043F2" w:rsidP="00A043F2">
      <w:pPr>
        <w:spacing w:after="120" w:line="360" w:lineRule="auto"/>
        <w:jc w:val="both"/>
        <w:rPr>
          <w:lang w:val="pt-BR"/>
        </w:rPr>
      </w:pPr>
      <w:r w:rsidRPr="00070B03">
        <w:rPr>
          <w:lang w:val="pt-BR"/>
        </w:rPr>
        <w:t>Não obstante as mudanças conceituais referidas acima, o conceito de extensão universitária continua bastante polissêmico. No cenário universitário, convivem concepções e práticas de extensão universitária bastante diversas (SOUSA, 2001, JEZINE, 2004)</w:t>
      </w:r>
      <w:r>
        <w:rPr>
          <w:lang w:val="pt-BR"/>
        </w:rPr>
        <w:t>.</w:t>
      </w:r>
    </w:p>
    <w:p w:rsidR="00A043F2" w:rsidRDefault="00A043F2" w:rsidP="00EB4489">
      <w:pPr>
        <w:autoSpaceDE w:val="0"/>
        <w:autoSpaceDN w:val="0"/>
        <w:adjustRightInd w:val="0"/>
        <w:spacing w:after="120" w:line="360" w:lineRule="auto"/>
        <w:ind w:left="1701"/>
        <w:jc w:val="both"/>
        <w:rPr>
          <w:rFonts w:cs="Garamond"/>
          <w:lang w:val="es-ES"/>
        </w:rPr>
      </w:pPr>
    </w:p>
    <w:p w:rsidR="001B79E7" w:rsidRDefault="001B79E7" w:rsidP="00744A36">
      <w:pPr>
        <w:spacing w:after="120" w:line="360" w:lineRule="auto"/>
        <w:rPr>
          <w:lang w:val="pt-BR"/>
        </w:rPr>
      </w:pPr>
    </w:p>
    <w:p w:rsidR="00070B03" w:rsidRPr="00EB4489" w:rsidRDefault="00FE340F" w:rsidP="00EB4489">
      <w:pPr>
        <w:spacing w:line="360" w:lineRule="auto"/>
        <w:rPr>
          <w:b/>
          <w:i/>
          <w:sz w:val="24"/>
          <w:szCs w:val="24"/>
          <w:lang w:val="pt-BR"/>
        </w:rPr>
      </w:pPr>
      <w:r>
        <w:rPr>
          <w:b/>
          <w:i/>
          <w:sz w:val="24"/>
          <w:szCs w:val="24"/>
          <w:lang w:val="pt-BR"/>
        </w:rPr>
        <w:t>La aprendizaj</w:t>
      </w:r>
      <w:r w:rsidR="00DF1312">
        <w:rPr>
          <w:b/>
          <w:i/>
          <w:sz w:val="24"/>
          <w:szCs w:val="24"/>
          <w:lang w:val="pt-BR"/>
        </w:rPr>
        <w:t>e en servici</w:t>
      </w:r>
      <w:r w:rsidR="00070B03" w:rsidRPr="00EB4489">
        <w:rPr>
          <w:b/>
          <w:i/>
          <w:sz w:val="24"/>
          <w:szCs w:val="24"/>
          <w:lang w:val="pt-BR"/>
        </w:rPr>
        <w:t>o (service-learning)</w:t>
      </w:r>
    </w:p>
    <w:p w:rsidR="00A043F2" w:rsidRPr="002606DF" w:rsidRDefault="00A043F2" w:rsidP="00A043F2">
      <w:pPr>
        <w:spacing w:line="360" w:lineRule="auto"/>
        <w:rPr>
          <w:lang w:val="pt-BR"/>
        </w:rPr>
      </w:pPr>
      <w:r w:rsidRPr="002606DF">
        <w:rPr>
          <w:lang w:val="pt-BR"/>
        </w:rPr>
        <w:t xml:space="preserve">A aprendizagem em serviço pode ser definida como uma prática de ensino-aprendizagem experiencial realizada junto à comunidade não-acadêmica. Em outras palavras, o trabalho junto à comunidade é utilizado como estratégia de ensino. </w:t>
      </w:r>
    </w:p>
    <w:p w:rsidR="00A043F2" w:rsidRPr="002606DF" w:rsidRDefault="00A043F2" w:rsidP="00A043F2">
      <w:pPr>
        <w:spacing w:after="120" w:line="360" w:lineRule="auto"/>
        <w:rPr>
          <w:lang w:val="pt-BR"/>
        </w:rPr>
      </w:pPr>
      <w:r w:rsidRPr="002606DF">
        <w:rPr>
          <w:lang w:val="pt-BR"/>
        </w:rPr>
        <w:t>A exata datação da origem do aprendizado em serviço como uma atividade universitária é difícil definir. Ademais, o próprio conceito de aprendizagem em serviço não é consensual (FURCO</w:t>
      </w:r>
      <w:r w:rsidR="00870D28" w:rsidRPr="002606DF">
        <w:rPr>
          <w:lang w:val="pt-BR"/>
        </w:rPr>
        <w:t>, 2003,</w:t>
      </w:r>
      <w:r w:rsidRPr="002606DF">
        <w:rPr>
          <w:lang w:val="pt-BR"/>
        </w:rPr>
        <w:t xml:space="preserve"> CHONG, 2014). Porém, três características são destacadas: a atividade é </w:t>
      </w:r>
      <w:r w:rsidRPr="002606DF">
        <w:rPr>
          <w:lang w:val="pt-BR"/>
        </w:rPr>
        <w:lastRenderedPageBreak/>
        <w:t>caracterizada por um serviço oferecido a uma comunidade, e que se origina nas necessidades da própria comunidade; através desta prática, o aprendizado acadêmico é fortalecido; qualidades cívicas com cidadania e responsabilidade social são adquirida</w:t>
      </w:r>
      <w:r w:rsidR="00870D28" w:rsidRPr="002606DF">
        <w:rPr>
          <w:lang w:val="pt-BR"/>
        </w:rPr>
        <w:t>s ou desenvolvidas (HOWARD, 2014</w:t>
      </w:r>
      <w:r w:rsidRPr="002606DF">
        <w:rPr>
          <w:lang w:val="pt-BR"/>
        </w:rPr>
        <w:t>).</w:t>
      </w:r>
    </w:p>
    <w:p w:rsidR="00A043F2" w:rsidRPr="002606DF" w:rsidRDefault="00A043F2" w:rsidP="00A043F2">
      <w:pPr>
        <w:spacing w:line="360" w:lineRule="auto"/>
        <w:rPr>
          <w:lang w:val="pt-BR"/>
        </w:rPr>
      </w:pPr>
      <w:r w:rsidRPr="002606DF">
        <w:rPr>
          <w:lang w:val="pt-BR"/>
        </w:rPr>
        <w:t>Na era contemporânea, os marcos iniciais da aprendizagem experiencial podem ser atribuídos a John Dewey, que considerava essencial que a universidade e as escolas estivessem voltadas ao cotidiano, ao trabalho e à vida política. O ‘</w:t>
      </w:r>
      <w:r w:rsidRPr="002606DF">
        <w:rPr>
          <w:i/>
          <w:lang w:val="pt-BR"/>
        </w:rPr>
        <w:t>Project method</w:t>
      </w:r>
      <w:r w:rsidRPr="002606DF">
        <w:rPr>
          <w:lang w:val="pt-BR"/>
        </w:rPr>
        <w:t xml:space="preserve">’ de seu discípulo W. Kilpatrick, desenvolvido também por Paul Hanna (autor de ‘Youth Serves the Community’, em 1936) foram precursores do conceito de </w:t>
      </w:r>
      <w:r w:rsidRPr="002606DF">
        <w:rPr>
          <w:i/>
          <w:lang w:val="pt-BR"/>
        </w:rPr>
        <w:t>service-learning</w:t>
      </w:r>
      <w:r w:rsidRPr="002606DF">
        <w:rPr>
          <w:lang w:val="pt-BR"/>
        </w:rPr>
        <w:t xml:space="preserve"> moderno (ROCHELEAU, 2004). </w:t>
      </w:r>
    </w:p>
    <w:p w:rsidR="00A043F2" w:rsidRPr="002606DF" w:rsidRDefault="00A043F2" w:rsidP="00A043F2">
      <w:pPr>
        <w:spacing w:line="360" w:lineRule="auto"/>
        <w:rPr>
          <w:rFonts w:ascii="Calibri" w:hAnsi="Calibri" w:cs="Calibri"/>
          <w:lang w:val="pt-BR"/>
        </w:rPr>
      </w:pPr>
      <w:r w:rsidRPr="002606DF">
        <w:t xml:space="preserve">Na América Latina o conceito de aprendizagem em serviço (ou </w:t>
      </w:r>
      <w:r w:rsidRPr="002606DF">
        <w:rPr>
          <w:rFonts w:ascii="Calibri" w:hAnsi="Calibri" w:cs="Calibri"/>
          <w:lang w:val="pt-BR"/>
        </w:rPr>
        <w:t xml:space="preserve">aprendizaje-servicio) não é comumente utilizado. Porém, muitas experiências desenvolvidas em conexão com as comunidades não-acadêmicas são entendidas como </w:t>
      </w:r>
      <w:r w:rsidRPr="002606DF">
        <w:t xml:space="preserve">aprendizagem em serviço </w:t>
      </w:r>
      <w:r w:rsidRPr="002606DF">
        <w:rPr>
          <w:rFonts w:ascii="Calibri" w:hAnsi="Calibri" w:cs="Calibri"/>
          <w:lang w:val="pt-BR"/>
        </w:rPr>
        <w:t>por alguns autores, como M. N. Tapia;</w:t>
      </w:r>
    </w:p>
    <w:p w:rsidR="00A043F2" w:rsidRPr="002606DF" w:rsidRDefault="00A043F2" w:rsidP="00A043F2">
      <w:pPr>
        <w:autoSpaceDE w:val="0"/>
        <w:autoSpaceDN w:val="0"/>
        <w:adjustRightInd w:val="0"/>
        <w:spacing w:after="0" w:line="360" w:lineRule="auto"/>
        <w:ind w:left="1701"/>
        <w:rPr>
          <w:rFonts w:ascii="Calibri" w:hAnsi="Calibri" w:cs="Calibri"/>
          <w:color w:val="000000"/>
          <w:lang w:val="pt-BR"/>
        </w:rPr>
      </w:pPr>
      <w:r w:rsidRPr="002606DF">
        <w:rPr>
          <w:rFonts w:ascii="Calibri" w:hAnsi="Calibri" w:cs="Calibri"/>
          <w:color w:val="000000"/>
          <w:lang w:val="pt-BR"/>
        </w:rPr>
        <w:t xml:space="preserve">Dibujar planos y hacer una maqueta para entregar como trabajo práctico es aprendizaje. Recolectar comida y ropa para donar es una campaña solidaria. Cuando en cambio, la intencionalidad pedagógica y la intencionalidad social se enlazan en una actividad compleja y superadora, podemos encontrar estudiantes de Arquitectura que diseñan los planos y hacen la maqueta de un comedor comunitario y colaboran en su construcción: eso es aprendizaje-servicio (...) </w:t>
      </w:r>
      <w:r w:rsidRPr="002606DF">
        <w:rPr>
          <w:rFonts w:ascii="Calibri" w:hAnsi="Calibri" w:cs="Calibri"/>
          <w:lang w:val="pt-BR"/>
        </w:rPr>
        <w:t>En el contexto latinoamericano, en cambio, muchas instituciones educativas se aproximan a la realidad social primariamente para intentar responder solidariamente a alguno de los muchos y urgentes desafíos que plantea la pobreza y la inequidad de nuestra región. A menudo la valorización del componente educativo de las prácticas solidarias llega en un segundo momento, cuando los educadores han comenzado a reconocer el valor formativo que puede involucrar una acción social</w:t>
      </w:r>
      <w:r w:rsidRPr="002606DF">
        <w:rPr>
          <w:rFonts w:ascii="Calibri" w:hAnsi="Calibri" w:cs="Calibri"/>
          <w:color w:val="000000"/>
          <w:lang w:val="pt-BR"/>
        </w:rPr>
        <w:t xml:space="preserve"> (TAPIA, 2010).</w:t>
      </w:r>
    </w:p>
    <w:p w:rsidR="00E74E4D" w:rsidRPr="002606DF" w:rsidRDefault="00E74E4D" w:rsidP="00744A36">
      <w:pPr>
        <w:spacing w:after="120" w:line="360" w:lineRule="auto"/>
        <w:rPr>
          <w:lang w:val="es-ES"/>
        </w:rPr>
      </w:pPr>
    </w:p>
    <w:p w:rsidR="00A043F2" w:rsidRPr="002606DF" w:rsidRDefault="00A043F2" w:rsidP="00A043F2">
      <w:pPr>
        <w:spacing w:after="120" w:line="360" w:lineRule="auto"/>
        <w:rPr>
          <w:lang w:val="pt-BR"/>
        </w:rPr>
      </w:pPr>
      <w:r w:rsidRPr="002606DF">
        <w:rPr>
          <w:lang w:val="pt-BR"/>
        </w:rPr>
        <w:t xml:space="preserve">No Brasil, a área da Saúde e seus cursos (Enfermagem, Medicina, Odontologia) tem incorporado a aprendizagem experiencial como estratégia de formação profissional, no bojo das transformações curriculares das últimas décadas, e buscando aliar teoria à prática </w:t>
      </w:r>
      <w:r w:rsidRPr="002606DF">
        <w:rPr>
          <w:lang w:val="pt-BR"/>
        </w:rPr>
        <w:lastRenderedPageBreak/>
        <w:t>(</w:t>
      </w:r>
      <w:r w:rsidR="00870D28" w:rsidRPr="002606DF">
        <w:rPr>
          <w:lang w:val="pt-BR"/>
        </w:rPr>
        <w:t xml:space="preserve">ALBUQUERQUE et al., 2008, MOIMAZ et al., </w:t>
      </w:r>
      <w:r w:rsidRPr="002606DF">
        <w:rPr>
          <w:lang w:val="pt-BR"/>
        </w:rPr>
        <w:t>2010). Porém, a distinção entre aprendizagem em serviço e estágios nem sempre é clara.</w:t>
      </w:r>
    </w:p>
    <w:p w:rsidR="00CF0F63" w:rsidRPr="002606DF" w:rsidRDefault="00A043F2" w:rsidP="00A043F2">
      <w:pPr>
        <w:spacing w:after="120" w:line="360" w:lineRule="auto"/>
        <w:rPr>
          <w:lang w:val="es-ES"/>
        </w:rPr>
      </w:pPr>
      <w:r w:rsidRPr="002606DF">
        <w:rPr>
          <w:lang w:val="pt-BR"/>
        </w:rPr>
        <w:t>A aproximação da aprendizagem em serviço com as ações de extensão universitária são evidentes, se consideramos que as instituições se aproximam das comunidades para auxiliar na resolução de múltiplos desafios (extensão universitária) e em um segundo momento se reconhece o valor pedagógico do desenvolvimento de ações sociais enquanto atividade formativa (curricularização da extensão ou aprendizagem em serviço). Podemos observar que, quando a extensão universitária se integra ao currículo, suas principais diferenças com o conceito de aprendizagem-serviço (Tabela 1) se reduzem.</w:t>
      </w:r>
    </w:p>
    <w:p w:rsidR="00CF0F63" w:rsidRPr="002606DF" w:rsidRDefault="00CF0F63" w:rsidP="00744A36">
      <w:pPr>
        <w:spacing w:after="120" w:line="360" w:lineRule="auto"/>
        <w:rPr>
          <w:lang w:val="es-ES"/>
        </w:rPr>
      </w:pPr>
    </w:p>
    <w:p w:rsidR="00A043F2" w:rsidRPr="002606DF" w:rsidRDefault="00A043F2" w:rsidP="00A043F2">
      <w:pPr>
        <w:spacing w:after="120" w:line="360" w:lineRule="auto"/>
        <w:rPr>
          <w:lang w:val="pt-BR"/>
        </w:rPr>
      </w:pPr>
      <w:r w:rsidRPr="002606DF">
        <w:rPr>
          <w:b/>
          <w:lang w:val="pt-BR"/>
        </w:rPr>
        <w:t>Tabela 1</w:t>
      </w:r>
      <w:r w:rsidRPr="002606DF">
        <w:rPr>
          <w:lang w:val="pt-BR"/>
        </w:rPr>
        <w:t>. Diferenças entre aprendizagem em serviço e extensão universitária.</w:t>
      </w:r>
    </w:p>
    <w:tbl>
      <w:tblPr>
        <w:tblW w:w="8647" w:type="dxa"/>
        <w:tblInd w:w="144" w:type="dxa"/>
        <w:tblCellMar>
          <w:left w:w="0" w:type="dxa"/>
          <w:right w:w="0" w:type="dxa"/>
        </w:tblCellMar>
        <w:tblLook w:val="04A0"/>
      </w:tblPr>
      <w:tblGrid>
        <w:gridCol w:w="4253"/>
        <w:gridCol w:w="4394"/>
      </w:tblGrid>
      <w:tr w:rsidR="00A043F2" w:rsidRPr="008622A7" w:rsidTr="00997EB6">
        <w:trPr>
          <w:trHeight w:val="246"/>
        </w:trPr>
        <w:tc>
          <w:tcPr>
            <w:tcW w:w="4253" w:type="dxa"/>
            <w:tcBorders>
              <w:top w:val="single" w:sz="8" w:space="0" w:color="auto"/>
              <w:left w:val="single" w:sz="8" w:space="0" w:color="FFFFFF"/>
              <w:bottom w:val="single" w:sz="4" w:space="0" w:color="auto"/>
              <w:right w:val="single" w:sz="8" w:space="0" w:color="FFFFFF"/>
            </w:tcBorders>
            <w:shd w:val="clear" w:color="auto" w:fill="8DB3E2" w:themeFill="text2" w:themeFillTint="66"/>
            <w:tcMar>
              <w:top w:w="72" w:type="dxa"/>
              <w:left w:w="144" w:type="dxa"/>
              <w:bottom w:w="72" w:type="dxa"/>
              <w:right w:w="144" w:type="dxa"/>
            </w:tcMar>
            <w:hideMark/>
          </w:tcPr>
          <w:p w:rsidR="00A043F2" w:rsidRPr="004829FE" w:rsidRDefault="004829FE" w:rsidP="00B735ED">
            <w:pPr>
              <w:spacing w:after="0" w:line="246" w:lineRule="atLeast"/>
              <w:rPr>
                <w:rFonts w:ascii="Arial" w:eastAsia="Times New Roman" w:hAnsi="Arial" w:cs="Arial"/>
                <w:b/>
                <w:sz w:val="24"/>
                <w:szCs w:val="24"/>
                <w:lang w:val="pt-BR" w:eastAsia="pt-BR"/>
              </w:rPr>
            </w:pPr>
            <w:r w:rsidRPr="004829FE">
              <w:rPr>
                <w:b/>
                <w:sz w:val="24"/>
                <w:szCs w:val="24"/>
                <w:lang w:val="pt-BR"/>
              </w:rPr>
              <w:t>Aprendizagem em serviço</w:t>
            </w:r>
          </w:p>
        </w:tc>
        <w:tc>
          <w:tcPr>
            <w:tcW w:w="4394" w:type="dxa"/>
            <w:tcBorders>
              <w:top w:val="single" w:sz="8" w:space="0" w:color="auto"/>
              <w:left w:val="single" w:sz="8" w:space="0" w:color="FFFFFF"/>
              <w:bottom w:val="single" w:sz="4" w:space="0" w:color="auto"/>
              <w:right w:val="single" w:sz="8" w:space="0" w:color="FFFFFF"/>
            </w:tcBorders>
            <w:shd w:val="clear" w:color="auto" w:fill="8DB3E2" w:themeFill="text2" w:themeFillTint="66"/>
            <w:tcMar>
              <w:top w:w="72" w:type="dxa"/>
              <w:left w:w="144" w:type="dxa"/>
              <w:bottom w:w="72" w:type="dxa"/>
              <w:right w:w="144" w:type="dxa"/>
            </w:tcMar>
            <w:hideMark/>
          </w:tcPr>
          <w:p w:rsidR="00A043F2" w:rsidRPr="00744A36" w:rsidRDefault="004829FE" w:rsidP="00B735ED">
            <w:pPr>
              <w:spacing w:after="0" w:line="246" w:lineRule="atLeast"/>
              <w:rPr>
                <w:rFonts w:ascii="Arial" w:eastAsia="Times New Roman" w:hAnsi="Arial" w:cs="Arial"/>
                <w:sz w:val="24"/>
                <w:szCs w:val="24"/>
                <w:lang w:val="pt-BR" w:eastAsia="pt-BR"/>
              </w:rPr>
            </w:pPr>
            <w:r>
              <w:rPr>
                <w:rFonts w:ascii="Calibri" w:eastAsia="Times New Roman" w:hAnsi="Calibri" w:cs="Arial"/>
                <w:b/>
                <w:bCs/>
                <w:kern w:val="24"/>
                <w:sz w:val="24"/>
                <w:szCs w:val="24"/>
                <w:lang w:val="pt-BR" w:eastAsia="pt-BR"/>
              </w:rPr>
              <w:t>Extensão</w:t>
            </w:r>
            <w:r w:rsidR="00A043F2" w:rsidRPr="00744A36">
              <w:rPr>
                <w:rFonts w:ascii="Calibri" w:eastAsia="Times New Roman" w:hAnsi="Calibri" w:cs="Arial"/>
                <w:b/>
                <w:bCs/>
                <w:kern w:val="24"/>
                <w:sz w:val="24"/>
                <w:szCs w:val="24"/>
                <w:lang w:val="pt-BR" w:eastAsia="pt-BR"/>
              </w:rPr>
              <w:t xml:space="preserve"> Universitária </w:t>
            </w:r>
          </w:p>
        </w:tc>
      </w:tr>
      <w:tr w:rsidR="00A043F2" w:rsidRPr="008622A7" w:rsidTr="00997EB6">
        <w:trPr>
          <w:trHeight w:val="584"/>
        </w:trPr>
        <w:tc>
          <w:tcPr>
            <w:tcW w:w="4253" w:type="dxa"/>
            <w:tcBorders>
              <w:top w:val="single" w:sz="4" w:space="0" w:color="auto"/>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A043F2" w:rsidRPr="008622A7" w:rsidRDefault="004829FE" w:rsidP="004829FE">
            <w:pPr>
              <w:spacing w:after="0" w:line="240" w:lineRule="auto"/>
              <w:rPr>
                <w:rFonts w:ascii="Arial" w:eastAsia="Times New Roman" w:hAnsi="Arial" w:cs="Arial"/>
                <w:sz w:val="24"/>
                <w:szCs w:val="24"/>
                <w:lang w:val="pt-BR" w:eastAsia="pt-BR"/>
              </w:rPr>
            </w:pPr>
            <w:r>
              <w:rPr>
                <w:rFonts w:ascii="Calibri" w:eastAsia="Times New Roman" w:hAnsi="Calibri" w:cs="Arial"/>
                <w:color w:val="000000"/>
                <w:kern w:val="24"/>
                <w:sz w:val="24"/>
                <w:szCs w:val="24"/>
                <w:lang w:val="pt-BR" w:eastAsia="pt-BR"/>
              </w:rPr>
              <w:t>Integrada ao currículo</w:t>
            </w:r>
            <w:r w:rsidR="00A043F2" w:rsidRPr="008622A7">
              <w:rPr>
                <w:rFonts w:ascii="Calibri" w:eastAsia="Times New Roman" w:hAnsi="Calibri" w:cs="Arial"/>
                <w:color w:val="000000"/>
                <w:kern w:val="24"/>
                <w:sz w:val="24"/>
                <w:szCs w:val="24"/>
                <w:lang w:val="pt-BR" w:eastAsia="pt-BR"/>
              </w:rPr>
              <w:t xml:space="preserve"> </w:t>
            </w:r>
          </w:p>
        </w:tc>
        <w:tc>
          <w:tcPr>
            <w:tcW w:w="4394" w:type="dxa"/>
            <w:tcBorders>
              <w:top w:val="single" w:sz="4" w:space="0" w:color="auto"/>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A043F2" w:rsidRPr="008622A7" w:rsidRDefault="004829FE" w:rsidP="004829FE">
            <w:pPr>
              <w:spacing w:after="0" w:line="240" w:lineRule="auto"/>
              <w:rPr>
                <w:rFonts w:ascii="Arial" w:eastAsia="Times New Roman" w:hAnsi="Arial" w:cs="Arial"/>
                <w:sz w:val="24"/>
                <w:szCs w:val="24"/>
                <w:lang w:val="pt-BR" w:eastAsia="pt-BR"/>
              </w:rPr>
            </w:pPr>
            <w:r>
              <w:rPr>
                <w:rFonts w:ascii="Calibri" w:eastAsia="Times New Roman" w:hAnsi="Calibri" w:cs="Arial"/>
                <w:color w:val="000000"/>
                <w:kern w:val="24"/>
                <w:sz w:val="24"/>
                <w:szCs w:val="24"/>
                <w:lang w:val="pt-BR" w:eastAsia="pt-BR"/>
              </w:rPr>
              <w:t>Em geral não</w:t>
            </w:r>
            <w:r w:rsidR="00A043F2" w:rsidRPr="008622A7">
              <w:rPr>
                <w:rFonts w:ascii="Calibri" w:eastAsia="Times New Roman" w:hAnsi="Calibri" w:cs="Arial"/>
                <w:color w:val="000000"/>
                <w:kern w:val="24"/>
                <w:sz w:val="24"/>
                <w:szCs w:val="24"/>
                <w:lang w:val="pt-BR" w:eastAsia="pt-BR"/>
              </w:rPr>
              <w:t xml:space="preserve"> integrada, </w:t>
            </w:r>
            <w:r>
              <w:rPr>
                <w:rFonts w:ascii="Calibri" w:eastAsia="Times New Roman" w:hAnsi="Calibri" w:cs="Arial"/>
                <w:color w:val="000000"/>
                <w:kern w:val="24"/>
                <w:sz w:val="24"/>
                <w:szCs w:val="24"/>
                <w:lang w:val="pt-BR" w:eastAsia="pt-BR"/>
              </w:rPr>
              <w:t>a</w:t>
            </w:r>
            <w:r w:rsidR="00A043F2" w:rsidRPr="008622A7">
              <w:rPr>
                <w:rFonts w:ascii="Calibri" w:eastAsia="Times New Roman" w:hAnsi="Calibri" w:cs="Arial"/>
                <w:color w:val="000000"/>
                <w:kern w:val="24"/>
                <w:sz w:val="24"/>
                <w:szCs w:val="24"/>
                <w:lang w:val="pt-BR" w:eastAsia="pt-BR"/>
              </w:rPr>
              <w:t>tividad</w:t>
            </w:r>
            <w:r>
              <w:rPr>
                <w:rFonts w:ascii="Calibri" w:eastAsia="Times New Roman" w:hAnsi="Calibri" w:cs="Arial"/>
                <w:color w:val="000000"/>
                <w:kern w:val="24"/>
                <w:sz w:val="24"/>
                <w:szCs w:val="24"/>
                <w:lang w:val="pt-BR" w:eastAsia="pt-BR"/>
              </w:rPr>
              <w:t>e complementar</w:t>
            </w:r>
            <w:r w:rsidR="00A043F2" w:rsidRPr="008622A7">
              <w:rPr>
                <w:rFonts w:ascii="Calibri" w:eastAsia="Times New Roman" w:hAnsi="Calibri" w:cs="Arial"/>
                <w:color w:val="000000"/>
                <w:kern w:val="24"/>
                <w:sz w:val="24"/>
                <w:szCs w:val="24"/>
                <w:lang w:val="pt-BR" w:eastAsia="pt-BR"/>
              </w:rPr>
              <w:t xml:space="preserve"> </w:t>
            </w:r>
          </w:p>
        </w:tc>
      </w:tr>
      <w:tr w:rsidR="00A043F2" w:rsidRPr="008622A7" w:rsidTr="00B735ED">
        <w:trPr>
          <w:trHeight w:val="584"/>
        </w:trPr>
        <w:tc>
          <w:tcPr>
            <w:tcW w:w="425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A043F2" w:rsidRPr="008622A7" w:rsidRDefault="004829FE" w:rsidP="00B735ED">
            <w:pPr>
              <w:spacing w:after="0" w:line="240" w:lineRule="auto"/>
              <w:rPr>
                <w:rFonts w:ascii="Arial" w:eastAsia="Times New Roman" w:hAnsi="Arial" w:cs="Arial"/>
                <w:sz w:val="24"/>
                <w:szCs w:val="24"/>
                <w:lang w:val="pt-BR" w:eastAsia="pt-BR"/>
              </w:rPr>
            </w:pPr>
            <w:r>
              <w:rPr>
                <w:rFonts w:ascii="Calibri" w:eastAsia="Times New Roman" w:hAnsi="Calibri" w:cs="Arial"/>
                <w:color w:val="000000"/>
                <w:kern w:val="24"/>
                <w:sz w:val="24"/>
                <w:szCs w:val="24"/>
                <w:lang w:val="pt-BR" w:eastAsia="pt-BR"/>
              </w:rPr>
              <w:t>O objetivo principal é aprendizagem</w:t>
            </w:r>
            <w:r w:rsidR="00A043F2" w:rsidRPr="008622A7">
              <w:rPr>
                <w:rFonts w:ascii="Calibri" w:eastAsia="Times New Roman" w:hAnsi="Calibri" w:cs="Arial"/>
                <w:color w:val="000000"/>
                <w:kern w:val="24"/>
                <w:sz w:val="24"/>
                <w:szCs w:val="24"/>
                <w:lang w:val="pt-BR" w:eastAsia="pt-BR"/>
              </w:rPr>
              <w:t xml:space="preserve"> </w:t>
            </w:r>
          </w:p>
        </w:tc>
        <w:tc>
          <w:tcPr>
            <w:tcW w:w="439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A043F2" w:rsidRPr="008622A7" w:rsidRDefault="004829FE" w:rsidP="004829FE">
            <w:pPr>
              <w:spacing w:after="0" w:line="240" w:lineRule="auto"/>
              <w:rPr>
                <w:rFonts w:ascii="Arial" w:eastAsia="Times New Roman" w:hAnsi="Arial" w:cs="Arial"/>
                <w:sz w:val="24"/>
                <w:szCs w:val="24"/>
                <w:lang w:val="pt-BR" w:eastAsia="pt-BR"/>
              </w:rPr>
            </w:pPr>
            <w:r>
              <w:rPr>
                <w:rFonts w:ascii="Calibri" w:eastAsia="Times New Roman" w:hAnsi="Calibri" w:cs="Arial"/>
                <w:color w:val="000000"/>
                <w:kern w:val="24"/>
                <w:sz w:val="24"/>
                <w:szCs w:val="24"/>
                <w:lang w:val="pt-BR" w:eastAsia="pt-BR"/>
              </w:rPr>
              <w:t>Em ge</w:t>
            </w:r>
            <w:r w:rsidR="00A043F2" w:rsidRPr="008622A7">
              <w:rPr>
                <w:rFonts w:ascii="Calibri" w:eastAsia="Times New Roman" w:hAnsi="Calibri" w:cs="Arial"/>
                <w:color w:val="000000"/>
                <w:kern w:val="24"/>
                <w:sz w:val="24"/>
                <w:szCs w:val="24"/>
                <w:lang w:val="pt-BR" w:eastAsia="pt-BR"/>
              </w:rPr>
              <w:t xml:space="preserve">ral </w:t>
            </w:r>
            <w:r>
              <w:rPr>
                <w:rFonts w:ascii="Calibri" w:eastAsia="Times New Roman" w:hAnsi="Calibri" w:cs="Arial"/>
                <w:color w:val="000000"/>
                <w:kern w:val="24"/>
                <w:sz w:val="24"/>
                <w:szCs w:val="24"/>
                <w:lang w:val="pt-BR" w:eastAsia="pt-BR"/>
              </w:rPr>
              <w:t>o objetivo é atender um</w:t>
            </w:r>
            <w:r w:rsidR="00A043F2" w:rsidRPr="008622A7">
              <w:rPr>
                <w:rFonts w:ascii="Calibri" w:eastAsia="Times New Roman" w:hAnsi="Calibri" w:cs="Arial"/>
                <w:color w:val="000000"/>
                <w:kern w:val="24"/>
                <w:sz w:val="24"/>
                <w:szCs w:val="24"/>
                <w:lang w:val="pt-BR" w:eastAsia="pt-BR"/>
              </w:rPr>
              <w:t xml:space="preserve">a demanda comunitária </w:t>
            </w:r>
          </w:p>
        </w:tc>
      </w:tr>
      <w:tr w:rsidR="00A043F2" w:rsidRPr="008622A7" w:rsidTr="00997EB6">
        <w:trPr>
          <w:trHeight w:val="584"/>
        </w:trPr>
        <w:tc>
          <w:tcPr>
            <w:tcW w:w="425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A043F2" w:rsidRPr="008622A7" w:rsidRDefault="004829FE" w:rsidP="004829FE">
            <w:pPr>
              <w:spacing w:after="0" w:line="240" w:lineRule="auto"/>
              <w:rPr>
                <w:rFonts w:ascii="Arial" w:eastAsia="Times New Roman" w:hAnsi="Arial" w:cs="Arial"/>
                <w:sz w:val="24"/>
                <w:szCs w:val="24"/>
                <w:lang w:val="pt-BR" w:eastAsia="pt-BR"/>
              </w:rPr>
            </w:pPr>
            <w:r>
              <w:rPr>
                <w:rFonts w:ascii="Calibri" w:eastAsia="Times New Roman" w:hAnsi="Calibri" w:cs="Arial"/>
                <w:color w:val="000000"/>
                <w:kern w:val="24"/>
                <w:sz w:val="24"/>
                <w:szCs w:val="24"/>
                <w:lang w:val="pt-BR" w:eastAsia="pt-BR"/>
              </w:rPr>
              <w:t>Participação centrada obr</w:t>
            </w:r>
            <w:r w:rsidR="00A043F2" w:rsidRPr="008622A7">
              <w:rPr>
                <w:rFonts w:ascii="Calibri" w:eastAsia="Times New Roman" w:hAnsi="Calibri" w:cs="Arial"/>
                <w:color w:val="000000"/>
                <w:kern w:val="24"/>
                <w:sz w:val="24"/>
                <w:szCs w:val="24"/>
                <w:lang w:val="pt-BR" w:eastAsia="pt-BR"/>
              </w:rPr>
              <w:t xml:space="preserve">igatoriamente </w:t>
            </w:r>
            <w:r>
              <w:rPr>
                <w:rFonts w:ascii="Calibri" w:eastAsia="Times New Roman" w:hAnsi="Calibri" w:cs="Arial"/>
                <w:color w:val="000000"/>
                <w:kern w:val="24"/>
                <w:sz w:val="24"/>
                <w:szCs w:val="24"/>
                <w:lang w:val="pt-BR" w:eastAsia="pt-BR"/>
              </w:rPr>
              <w:t>nos estud</w:t>
            </w:r>
            <w:r w:rsidR="00A043F2" w:rsidRPr="008622A7">
              <w:rPr>
                <w:rFonts w:ascii="Calibri" w:eastAsia="Times New Roman" w:hAnsi="Calibri" w:cs="Arial"/>
                <w:color w:val="000000"/>
                <w:kern w:val="24"/>
                <w:sz w:val="24"/>
                <w:szCs w:val="24"/>
                <w:lang w:val="pt-BR" w:eastAsia="pt-BR"/>
              </w:rPr>
              <w:t xml:space="preserve">antes </w:t>
            </w:r>
          </w:p>
        </w:tc>
        <w:tc>
          <w:tcPr>
            <w:tcW w:w="439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A043F2" w:rsidRPr="008622A7" w:rsidRDefault="00A043F2" w:rsidP="00B735ED">
            <w:pPr>
              <w:spacing w:after="0" w:line="240" w:lineRule="auto"/>
              <w:rPr>
                <w:rFonts w:ascii="Arial" w:eastAsia="Times New Roman" w:hAnsi="Arial" w:cs="Arial"/>
                <w:sz w:val="24"/>
                <w:szCs w:val="24"/>
                <w:lang w:val="pt-BR" w:eastAsia="pt-BR"/>
              </w:rPr>
            </w:pPr>
            <w:r>
              <w:rPr>
                <w:rFonts w:ascii="Calibri" w:eastAsia="Times New Roman" w:hAnsi="Calibri" w:cs="Arial"/>
                <w:color w:val="000000"/>
                <w:kern w:val="24"/>
                <w:sz w:val="24"/>
                <w:szCs w:val="24"/>
                <w:lang w:val="pt-BR" w:eastAsia="pt-BR"/>
              </w:rPr>
              <w:t>Es</w:t>
            </w:r>
            <w:r w:rsidR="004829FE">
              <w:rPr>
                <w:rFonts w:ascii="Calibri" w:eastAsia="Times New Roman" w:hAnsi="Calibri" w:cs="Arial"/>
                <w:color w:val="000000"/>
                <w:kern w:val="24"/>
                <w:sz w:val="24"/>
                <w:szCs w:val="24"/>
                <w:lang w:val="pt-BR" w:eastAsia="pt-BR"/>
              </w:rPr>
              <w:t>tudiantes participam ou não</w:t>
            </w:r>
            <w:r w:rsidRPr="008622A7">
              <w:rPr>
                <w:rFonts w:ascii="Calibri" w:eastAsia="Times New Roman" w:hAnsi="Calibri" w:cs="Arial"/>
                <w:color w:val="000000"/>
                <w:kern w:val="24"/>
                <w:sz w:val="24"/>
                <w:szCs w:val="24"/>
                <w:lang w:val="pt-BR" w:eastAsia="pt-BR"/>
              </w:rPr>
              <w:t xml:space="preserve"> </w:t>
            </w:r>
          </w:p>
        </w:tc>
      </w:tr>
      <w:tr w:rsidR="00A043F2" w:rsidRPr="008622A7" w:rsidTr="00997EB6">
        <w:trPr>
          <w:trHeight w:val="584"/>
        </w:trPr>
        <w:tc>
          <w:tcPr>
            <w:tcW w:w="4253" w:type="dxa"/>
            <w:tcBorders>
              <w:top w:val="single" w:sz="8" w:space="0" w:color="FFFFFF"/>
              <w:left w:val="single" w:sz="8" w:space="0" w:color="FFFFFF"/>
              <w:bottom w:val="single" w:sz="4" w:space="0" w:color="auto"/>
              <w:right w:val="single" w:sz="8" w:space="0" w:color="FFFFFF"/>
            </w:tcBorders>
            <w:shd w:val="clear" w:color="auto" w:fill="E9EDF4"/>
            <w:tcMar>
              <w:top w:w="72" w:type="dxa"/>
              <w:left w:w="144" w:type="dxa"/>
              <w:bottom w:w="72" w:type="dxa"/>
              <w:right w:w="144" w:type="dxa"/>
            </w:tcMar>
            <w:hideMark/>
          </w:tcPr>
          <w:p w:rsidR="00A043F2" w:rsidRPr="008622A7" w:rsidRDefault="00A043F2" w:rsidP="004829FE">
            <w:pPr>
              <w:spacing w:after="0" w:line="240" w:lineRule="auto"/>
              <w:rPr>
                <w:rFonts w:ascii="Arial" w:eastAsia="Times New Roman" w:hAnsi="Arial" w:cs="Arial"/>
                <w:sz w:val="24"/>
                <w:szCs w:val="24"/>
                <w:lang w:val="pt-BR" w:eastAsia="pt-BR"/>
              </w:rPr>
            </w:pPr>
            <w:r w:rsidRPr="008622A7">
              <w:rPr>
                <w:rFonts w:ascii="Calibri" w:eastAsia="Times New Roman" w:hAnsi="Calibri" w:cs="Arial"/>
                <w:color w:val="000000"/>
                <w:kern w:val="24"/>
                <w:sz w:val="24"/>
                <w:szCs w:val="24"/>
                <w:lang w:val="pt-BR" w:eastAsia="pt-BR"/>
              </w:rPr>
              <w:t xml:space="preserve">Vinculada a </w:t>
            </w:r>
            <w:r w:rsidR="004829FE">
              <w:rPr>
                <w:rFonts w:ascii="Calibri" w:eastAsia="Times New Roman" w:hAnsi="Calibri" w:cs="Arial"/>
                <w:color w:val="000000"/>
                <w:kern w:val="24"/>
                <w:sz w:val="24"/>
                <w:szCs w:val="24"/>
                <w:lang w:val="pt-BR" w:eastAsia="pt-BR"/>
              </w:rPr>
              <w:t>uma disciplina</w:t>
            </w:r>
          </w:p>
        </w:tc>
        <w:tc>
          <w:tcPr>
            <w:tcW w:w="4394" w:type="dxa"/>
            <w:tcBorders>
              <w:top w:val="single" w:sz="8" w:space="0" w:color="FFFFFF"/>
              <w:left w:val="single" w:sz="8" w:space="0" w:color="FFFFFF"/>
              <w:bottom w:val="single" w:sz="4" w:space="0" w:color="auto"/>
              <w:right w:val="single" w:sz="8" w:space="0" w:color="FFFFFF"/>
            </w:tcBorders>
            <w:shd w:val="clear" w:color="auto" w:fill="E9EDF4"/>
            <w:tcMar>
              <w:top w:w="72" w:type="dxa"/>
              <w:left w:w="144" w:type="dxa"/>
              <w:bottom w:w="72" w:type="dxa"/>
              <w:right w:w="144" w:type="dxa"/>
            </w:tcMar>
            <w:hideMark/>
          </w:tcPr>
          <w:p w:rsidR="00A043F2" w:rsidRPr="008622A7" w:rsidRDefault="004829FE" w:rsidP="00B735ED">
            <w:pPr>
              <w:spacing w:after="0" w:line="240" w:lineRule="auto"/>
              <w:rPr>
                <w:rFonts w:ascii="Arial" w:eastAsia="Times New Roman" w:hAnsi="Arial" w:cs="Arial"/>
                <w:sz w:val="24"/>
                <w:szCs w:val="24"/>
                <w:lang w:val="pt-BR" w:eastAsia="pt-BR"/>
              </w:rPr>
            </w:pPr>
            <w:r>
              <w:rPr>
                <w:rFonts w:ascii="Calibri" w:eastAsia="Times New Roman" w:hAnsi="Calibri" w:cs="Arial"/>
                <w:color w:val="000000"/>
                <w:kern w:val="24"/>
                <w:sz w:val="24"/>
                <w:szCs w:val="24"/>
                <w:lang w:val="pt-BR" w:eastAsia="pt-BR"/>
              </w:rPr>
              <w:t>Vinculada a um Programa ou Proje</w:t>
            </w:r>
            <w:r w:rsidR="00A043F2" w:rsidRPr="008622A7">
              <w:rPr>
                <w:rFonts w:ascii="Calibri" w:eastAsia="Times New Roman" w:hAnsi="Calibri" w:cs="Arial"/>
                <w:color w:val="000000"/>
                <w:kern w:val="24"/>
                <w:sz w:val="24"/>
                <w:szCs w:val="24"/>
                <w:lang w:val="pt-BR" w:eastAsia="pt-BR"/>
              </w:rPr>
              <w:t xml:space="preserve">to </w:t>
            </w:r>
          </w:p>
        </w:tc>
      </w:tr>
    </w:tbl>
    <w:p w:rsidR="00A043F2" w:rsidRDefault="00A043F2" w:rsidP="00A043F2">
      <w:pPr>
        <w:rPr>
          <w:lang w:val="pt-BR"/>
        </w:rPr>
      </w:pPr>
    </w:p>
    <w:p w:rsidR="00A043F2" w:rsidRPr="00B56B54" w:rsidRDefault="00A043F2" w:rsidP="00A043F2">
      <w:pPr>
        <w:spacing w:after="120" w:line="360" w:lineRule="auto"/>
        <w:rPr>
          <w:sz w:val="24"/>
          <w:szCs w:val="24"/>
          <w:lang w:val="pt-BR"/>
        </w:rPr>
      </w:pPr>
      <w:r w:rsidRPr="00B56B54">
        <w:rPr>
          <w:sz w:val="24"/>
          <w:szCs w:val="24"/>
          <w:lang w:val="pt-BR"/>
        </w:rPr>
        <w:t>Porém, é possível ainda estabelecer diferenças no que se refere à dinâmica construtiva de uma e de outra modalidade. A Extensão universitária usualmente parte de um Programa ou um Projeto, com identidade própria e com certa autonomia acadêmica, muitas vezes construí</w:t>
      </w:r>
      <w:r>
        <w:rPr>
          <w:sz w:val="24"/>
          <w:szCs w:val="24"/>
          <w:lang w:val="pt-BR"/>
        </w:rPr>
        <w:t>d</w:t>
      </w:r>
      <w:r w:rsidRPr="00B56B54">
        <w:rPr>
          <w:sz w:val="24"/>
          <w:szCs w:val="24"/>
          <w:lang w:val="pt-BR"/>
        </w:rPr>
        <w:t xml:space="preserve">a a partir de financiamentos externos. Sua dimensão pedagógica não é automática e muitas vezes nem é institucionalizada, embora a participação de estudantes nestas atividades é usualmente creditada como atividades complementares. </w:t>
      </w:r>
    </w:p>
    <w:p w:rsidR="00DE7C86" w:rsidRPr="00E74E4D" w:rsidRDefault="00A043F2" w:rsidP="00A043F2">
      <w:pPr>
        <w:spacing w:line="360" w:lineRule="auto"/>
        <w:rPr>
          <w:lang w:val="es-ES"/>
        </w:rPr>
      </w:pPr>
      <w:r w:rsidRPr="00B56B54">
        <w:rPr>
          <w:sz w:val="24"/>
          <w:szCs w:val="24"/>
          <w:lang w:val="pt-BR"/>
        </w:rPr>
        <w:t xml:space="preserve">Já a aprendizagem em serviço parte de uma estrutura curricular (como dimensão obrigatória ou optativa) e as ações sociais são dimensionadas para atender a esta demanda, em especial no que se refere à temporalidade. Isto não significa que as </w:t>
      </w:r>
      <w:r w:rsidRPr="00B56B54">
        <w:rPr>
          <w:sz w:val="24"/>
          <w:szCs w:val="24"/>
          <w:lang w:val="pt-BR"/>
        </w:rPr>
        <w:lastRenderedPageBreak/>
        <w:t>ações sociais tenham uma duração reduzida, pois estas podem ser continuadas período após período, com turmas de estudantes diferentes.</w:t>
      </w:r>
    </w:p>
    <w:p w:rsidR="00522E88" w:rsidRPr="00E74E4D" w:rsidRDefault="004829FE" w:rsidP="00522E88">
      <w:pPr>
        <w:spacing w:line="360" w:lineRule="auto"/>
        <w:rPr>
          <w:lang w:val="es-ES"/>
        </w:rPr>
      </w:pPr>
      <w:r w:rsidRPr="00B56B54">
        <w:rPr>
          <w:sz w:val="24"/>
          <w:szCs w:val="24"/>
          <w:lang w:val="pt-BR"/>
        </w:rPr>
        <w:t>Cabe ressaltar que na América do Norte a função pedagógica do engajamento acadêmico em atividades com a comunidade externa vem sendo realizada predominantemente pela aprendizagem em serviço (</w:t>
      </w:r>
      <w:r w:rsidRPr="00B56B54">
        <w:rPr>
          <w:i/>
          <w:sz w:val="24"/>
          <w:szCs w:val="24"/>
          <w:lang w:val="pt-BR"/>
        </w:rPr>
        <w:t>service-learning</w:t>
      </w:r>
      <w:r w:rsidRPr="00B56B54">
        <w:rPr>
          <w:sz w:val="24"/>
          <w:szCs w:val="24"/>
          <w:lang w:val="pt-BR"/>
        </w:rPr>
        <w:t xml:space="preserve">). A extensão universitária, propriamente, se distanciou das demais dimensões acadêmicas, e unidades administrativas separadas se dedicam à extensão, muitas vezes através de escritórios </w:t>
      </w:r>
      <w:r>
        <w:rPr>
          <w:sz w:val="24"/>
          <w:szCs w:val="24"/>
          <w:lang w:val="pt-BR"/>
        </w:rPr>
        <w:t xml:space="preserve">disseminados </w:t>
      </w:r>
      <w:r w:rsidRPr="00B56B54">
        <w:rPr>
          <w:sz w:val="24"/>
          <w:szCs w:val="24"/>
          <w:lang w:val="pt-BR"/>
        </w:rPr>
        <w:t>em diferentes localidades, na região de abrangência das Universidades. A inserção de estudantes não é regra, embora algumas vezes estes participem de atividades de extensão na forma de estágios ou mesmo de atividades de aprendizagem em serviço vinculadas a alguma disciplina. Porém, a criação de unidades administrativas próprias para a condução da extensão universitária tende a distanciar esta atividade do ensino e da pesquisa (STOECKER, 2014), em que pese os relatos de experiências exitosas de integração entre extensão e aprendizagem em cursos de graduação e pós-graduação (SALANT; LAUMATIA, 2011, SHELTON et al., 2015).</w:t>
      </w:r>
    </w:p>
    <w:p w:rsidR="00522E88" w:rsidRPr="00522E88" w:rsidRDefault="00522E88" w:rsidP="00522E88">
      <w:pPr>
        <w:spacing w:line="360" w:lineRule="auto"/>
        <w:rPr>
          <w:b/>
          <w:i/>
          <w:sz w:val="24"/>
          <w:szCs w:val="24"/>
          <w:lang w:val="es-ES"/>
        </w:rPr>
      </w:pPr>
    </w:p>
    <w:p w:rsidR="001D1C83" w:rsidRPr="00B56B54" w:rsidRDefault="001D1C83" w:rsidP="001D1C83">
      <w:pPr>
        <w:spacing w:line="360" w:lineRule="auto"/>
        <w:rPr>
          <w:b/>
          <w:i/>
          <w:sz w:val="24"/>
          <w:szCs w:val="24"/>
          <w:lang w:val="pt-BR"/>
        </w:rPr>
      </w:pPr>
      <w:r w:rsidRPr="00B56B54">
        <w:rPr>
          <w:b/>
          <w:i/>
          <w:sz w:val="24"/>
          <w:szCs w:val="24"/>
          <w:lang w:val="pt-BR"/>
        </w:rPr>
        <w:t xml:space="preserve">As contribuições da extensão universitária na formação profissional e cidadã </w:t>
      </w:r>
    </w:p>
    <w:p w:rsidR="001D1C83" w:rsidRDefault="001D1C83" w:rsidP="001D1C83">
      <w:pPr>
        <w:spacing w:line="360" w:lineRule="auto"/>
        <w:rPr>
          <w:sz w:val="24"/>
          <w:szCs w:val="24"/>
          <w:lang w:val="pt-BR"/>
        </w:rPr>
      </w:pPr>
      <w:r w:rsidRPr="00B56B54">
        <w:rPr>
          <w:sz w:val="24"/>
          <w:szCs w:val="24"/>
          <w:lang w:val="pt-BR"/>
        </w:rPr>
        <w:t xml:space="preserve">A contribuição da extensão universitária para as comunidades e para a promoção das transformações sociais é amplamente reconhecida pela academia e pela sociedade em geral. Porém, na medida em que a extensão universitária se torna dialógica - uma via de mão dupla - passa a ser significativa para os demais atores participantes, docentes, técnicos e estudantes, em termos pedagógicos e acadêmicos (COELHO, 2014). </w:t>
      </w:r>
      <w:r w:rsidRPr="00B56B54">
        <w:rPr>
          <w:rFonts w:cs="GillSans-LightItalic"/>
          <w:iCs/>
          <w:sz w:val="24"/>
          <w:szCs w:val="24"/>
          <w:lang w:val="pt-BR"/>
        </w:rPr>
        <w:t xml:space="preserve">A contribuição da participação </w:t>
      </w:r>
      <w:r w:rsidRPr="00B56B54">
        <w:rPr>
          <w:sz w:val="24"/>
          <w:szCs w:val="24"/>
          <w:lang w:val="pt-BR"/>
        </w:rPr>
        <w:t xml:space="preserve">em atividades com a comunidade externa (trataremos aqui em conjunto extensão universitária e </w:t>
      </w:r>
      <w:r w:rsidRPr="00B56B54">
        <w:rPr>
          <w:i/>
          <w:sz w:val="24"/>
          <w:szCs w:val="24"/>
          <w:lang w:val="pt-BR"/>
        </w:rPr>
        <w:t>service-learning</w:t>
      </w:r>
      <w:r w:rsidRPr="00B56B54">
        <w:rPr>
          <w:sz w:val="24"/>
          <w:szCs w:val="24"/>
          <w:lang w:val="pt-BR"/>
        </w:rPr>
        <w:t>) se dá em diferentes dimensões do d</w:t>
      </w:r>
      <w:r>
        <w:rPr>
          <w:sz w:val="24"/>
          <w:szCs w:val="24"/>
          <w:lang w:val="pt-BR"/>
        </w:rPr>
        <w:t>esenvolvimento pessoal (Tabela 2</w:t>
      </w:r>
      <w:r w:rsidRPr="00B56B54">
        <w:rPr>
          <w:sz w:val="24"/>
          <w:szCs w:val="24"/>
          <w:lang w:val="pt-BR"/>
        </w:rPr>
        <w:t xml:space="preserve">). </w:t>
      </w:r>
    </w:p>
    <w:p w:rsidR="00E74E4D" w:rsidRPr="001D1C83" w:rsidRDefault="001D1C83" w:rsidP="001D1C83">
      <w:pPr>
        <w:spacing w:line="360" w:lineRule="auto"/>
        <w:rPr>
          <w:sz w:val="24"/>
          <w:szCs w:val="24"/>
          <w:lang w:val="pt-BR"/>
        </w:rPr>
      </w:pPr>
      <w:r w:rsidRPr="00B56B54">
        <w:rPr>
          <w:sz w:val="24"/>
          <w:szCs w:val="24"/>
          <w:lang w:val="pt-BR"/>
        </w:rPr>
        <w:t xml:space="preserve">A investigação sobre a dimensão pedagógica do engajamento acadêmico em atividades com a comunidade externa é relativamente recente. Boa parte desta investigação se dá a partir de atividades de aprendizagem-serviço e se concentra nos </w:t>
      </w:r>
      <w:r w:rsidRPr="00B56B54">
        <w:rPr>
          <w:sz w:val="24"/>
          <w:szCs w:val="24"/>
          <w:lang w:val="pt-BR"/>
        </w:rPr>
        <w:lastRenderedPageBreak/>
        <w:t xml:space="preserve">Estados Unidos. </w:t>
      </w:r>
      <w:r>
        <w:rPr>
          <w:sz w:val="24"/>
          <w:szCs w:val="24"/>
          <w:lang w:val="pt-BR"/>
        </w:rPr>
        <w:t>N</w:t>
      </w:r>
      <w:r w:rsidRPr="00B56B54">
        <w:rPr>
          <w:sz w:val="24"/>
          <w:szCs w:val="24"/>
          <w:lang w:val="pt-BR"/>
        </w:rPr>
        <w:t>a Espanha</w:t>
      </w:r>
      <w:r>
        <w:rPr>
          <w:sz w:val="24"/>
          <w:szCs w:val="24"/>
          <w:lang w:val="pt-BR"/>
        </w:rPr>
        <w:t>,</w:t>
      </w:r>
      <w:r w:rsidRPr="00B56B54">
        <w:rPr>
          <w:sz w:val="24"/>
          <w:szCs w:val="24"/>
          <w:lang w:val="pt-BR"/>
        </w:rPr>
        <w:t xml:space="preserve"> o tema de investigação em torno da aprendizagem em serviço também tem alcançado maior reconhecimento (</w:t>
      </w:r>
      <w:r w:rsidRPr="00B56B54">
        <w:rPr>
          <w:rFonts w:cs="GillSans-LightItalic"/>
          <w:iCs/>
          <w:sz w:val="24"/>
          <w:szCs w:val="24"/>
          <w:lang w:val="pt-BR"/>
        </w:rPr>
        <w:t>FOLGUEIRAS BERTOMEU et al.</w:t>
      </w:r>
      <w:r w:rsidR="00870D28">
        <w:rPr>
          <w:rFonts w:cs="GillSans-LightItalic"/>
          <w:iCs/>
          <w:sz w:val="24"/>
          <w:szCs w:val="24"/>
          <w:lang w:val="pt-BR"/>
        </w:rPr>
        <w:t>,</w:t>
      </w:r>
      <w:r w:rsidRPr="00B56B54">
        <w:rPr>
          <w:rFonts w:cs="GillSans-LightItalic"/>
          <w:iCs/>
          <w:sz w:val="24"/>
          <w:szCs w:val="24"/>
          <w:lang w:val="pt-BR"/>
        </w:rPr>
        <w:t xml:space="preserve"> 2013).</w:t>
      </w:r>
      <w:r>
        <w:rPr>
          <w:rFonts w:cs="GillSans-LightItalic"/>
          <w:iCs/>
          <w:sz w:val="24"/>
          <w:szCs w:val="24"/>
          <w:lang w:val="pt-BR"/>
        </w:rPr>
        <w:t xml:space="preserve"> </w:t>
      </w:r>
      <w:r w:rsidRPr="00B56B54">
        <w:rPr>
          <w:sz w:val="24"/>
          <w:szCs w:val="24"/>
          <w:lang w:val="pt-BR"/>
        </w:rPr>
        <w:t>Nos últimos 10 anos, porém, tem crescido a investigação sobre os impactos pedagógicos das atividades extramurais no Brasil.</w:t>
      </w:r>
    </w:p>
    <w:p w:rsidR="001D1C83" w:rsidRPr="00604ED4" w:rsidRDefault="001D1C83" w:rsidP="001D1C83">
      <w:pPr>
        <w:spacing w:line="360" w:lineRule="auto"/>
        <w:jc w:val="both"/>
        <w:rPr>
          <w:rFonts w:ascii="Times New Roman" w:hAnsi="Times New Roman" w:cs="Times New Roman"/>
          <w:lang w:val="pt-BR"/>
        </w:rPr>
      </w:pPr>
      <w:r>
        <w:rPr>
          <w:lang w:val="pt-BR"/>
        </w:rPr>
        <w:t>Tabela 2</w:t>
      </w:r>
      <w:r w:rsidRPr="00604ED4">
        <w:rPr>
          <w:lang w:val="pt-BR"/>
        </w:rPr>
        <w:t xml:space="preserve">. </w:t>
      </w:r>
      <w:r w:rsidRPr="00604ED4">
        <w:rPr>
          <w:rFonts w:ascii="Times New Roman" w:hAnsi="Times New Roman" w:cs="Times New Roman"/>
          <w:lang w:val="pt-BR"/>
        </w:rPr>
        <w:t>Categorias para a avaliação de impactos de atividades extensionistas como instrumento de aprendizado universitário.</w:t>
      </w:r>
    </w:p>
    <w:tbl>
      <w:tblPr>
        <w:tblStyle w:val="SombreamentoMdio1-nfase5"/>
        <w:tblW w:w="0" w:type="auto"/>
        <w:tblLook w:val="04A0"/>
      </w:tblPr>
      <w:tblGrid>
        <w:gridCol w:w="1976"/>
        <w:gridCol w:w="6744"/>
      </w:tblGrid>
      <w:tr w:rsidR="001D1C83" w:rsidRPr="00914270" w:rsidTr="00997EB6">
        <w:trPr>
          <w:cnfStyle w:val="100000000000"/>
        </w:trPr>
        <w:tc>
          <w:tcPr>
            <w:cnfStyle w:val="001000000000"/>
            <w:tcW w:w="1985" w:type="dxa"/>
            <w:tcBorders>
              <w:top w:val="single" w:sz="8" w:space="0" w:color="auto"/>
              <w:bottom w:val="single" w:sz="4" w:space="0" w:color="auto"/>
            </w:tcBorders>
          </w:tcPr>
          <w:p w:rsidR="001D1C83" w:rsidRPr="00B56B54" w:rsidRDefault="001D1C83" w:rsidP="00997EB6">
            <w:pPr>
              <w:tabs>
                <w:tab w:val="right" w:pos="1760"/>
              </w:tabs>
              <w:spacing w:line="360" w:lineRule="auto"/>
              <w:rPr>
                <w:rFonts w:cs="Times New Roman"/>
                <w:b w:val="0"/>
                <w:color w:val="auto"/>
                <w:lang w:val="pt-BR"/>
              </w:rPr>
            </w:pPr>
            <w:r w:rsidRPr="00B56B54">
              <w:rPr>
                <w:rFonts w:cs="Times New Roman"/>
                <w:color w:val="auto"/>
                <w:lang w:val="pt-BR"/>
              </w:rPr>
              <w:t xml:space="preserve">Categorias </w:t>
            </w:r>
            <w:r w:rsidR="00997EB6">
              <w:rPr>
                <w:rFonts w:cs="Times New Roman"/>
                <w:color w:val="auto"/>
                <w:lang w:val="pt-BR"/>
              </w:rPr>
              <w:tab/>
            </w:r>
          </w:p>
        </w:tc>
        <w:tc>
          <w:tcPr>
            <w:tcW w:w="7087" w:type="dxa"/>
            <w:tcBorders>
              <w:top w:val="single" w:sz="8" w:space="0" w:color="auto"/>
              <w:bottom w:val="single" w:sz="4" w:space="0" w:color="auto"/>
            </w:tcBorders>
          </w:tcPr>
          <w:p w:rsidR="001D1C83" w:rsidRPr="00B56B54" w:rsidRDefault="001D1C83" w:rsidP="00B735ED">
            <w:pPr>
              <w:spacing w:line="360" w:lineRule="auto"/>
              <w:cnfStyle w:val="100000000000"/>
              <w:rPr>
                <w:rFonts w:cs="Times New Roman"/>
                <w:b w:val="0"/>
                <w:color w:val="auto"/>
                <w:lang w:val="pt-BR"/>
              </w:rPr>
            </w:pPr>
            <w:r w:rsidRPr="00B56B54">
              <w:rPr>
                <w:rFonts w:cs="Times New Roman"/>
                <w:color w:val="auto"/>
                <w:lang w:val="pt-BR"/>
              </w:rPr>
              <w:t>Itens de avaliação</w:t>
            </w:r>
          </w:p>
        </w:tc>
      </w:tr>
      <w:tr w:rsidR="001D1C83" w:rsidRPr="00914270" w:rsidTr="00997EB6">
        <w:trPr>
          <w:cnfStyle w:val="000000100000"/>
        </w:trPr>
        <w:tc>
          <w:tcPr>
            <w:cnfStyle w:val="001000000000"/>
            <w:tcW w:w="1985" w:type="dxa"/>
            <w:tcBorders>
              <w:top w:val="single" w:sz="4" w:space="0" w:color="auto"/>
            </w:tcBorders>
          </w:tcPr>
          <w:p w:rsidR="001D1C83" w:rsidRPr="005D0D13" w:rsidRDefault="001D1C83" w:rsidP="00B735ED">
            <w:pPr>
              <w:spacing w:line="360" w:lineRule="auto"/>
              <w:rPr>
                <w:rFonts w:cs="Times New Roman"/>
                <w:lang w:val="pt-BR"/>
              </w:rPr>
            </w:pPr>
            <w:r w:rsidRPr="005D0D13">
              <w:rPr>
                <w:rFonts w:cs="Times New Roman"/>
                <w:lang w:val="pt-BR"/>
              </w:rPr>
              <w:t>Profissional</w:t>
            </w:r>
          </w:p>
        </w:tc>
        <w:tc>
          <w:tcPr>
            <w:tcW w:w="7087" w:type="dxa"/>
            <w:tcBorders>
              <w:top w:val="single" w:sz="4" w:space="0" w:color="auto"/>
            </w:tcBorders>
          </w:tcPr>
          <w:p w:rsidR="001D1C83" w:rsidRPr="005D0D13" w:rsidRDefault="001D1C83" w:rsidP="00B735ED">
            <w:pPr>
              <w:spacing w:line="360" w:lineRule="auto"/>
              <w:cnfStyle w:val="000000100000"/>
              <w:rPr>
                <w:rFonts w:cs="Times New Roman"/>
                <w:lang w:val="pt-BR"/>
              </w:rPr>
            </w:pPr>
            <w:r w:rsidRPr="005D0D13">
              <w:rPr>
                <w:rFonts w:cs="Times New Roman"/>
                <w:lang w:val="pt-BR"/>
              </w:rPr>
              <w:t>aquisição de conhecimentos que favorecem o desempenho profissional; desenvolvimento de atitudes e comportamentos adequados à profissão</w:t>
            </w:r>
          </w:p>
        </w:tc>
      </w:tr>
      <w:tr w:rsidR="001D1C83" w:rsidRPr="00914270" w:rsidTr="00B735ED">
        <w:trPr>
          <w:cnfStyle w:val="000000010000"/>
        </w:trPr>
        <w:tc>
          <w:tcPr>
            <w:cnfStyle w:val="001000000000"/>
            <w:tcW w:w="1985" w:type="dxa"/>
          </w:tcPr>
          <w:p w:rsidR="001D1C83" w:rsidRPr="005D0D13" w:rsidRDefault="001D1C83" w:rsidP="00B735ED">
            <w:pPr>
              <w:spacing w:line="360" w:lineRule="auto"/>
              <w:rPr>
                <w:rFonts w:cs="Times New Roman"/>
                <w:lang w:val="pt-BR"/>
              </w:rPr>
            </w:pPr>
            <w:r w:rsidRPr="005D0D13">
              <w:rPr>
                <w:rFonts w:cs="Times New Roman"/>
                <w:lang w:val="pt-BR"/>
              </w:rPr>
              <w:t>Afetivo-comportamentais</w:t>
            </w:r>
          </w:p>
        </w:tc>
        <w:tc>
          <w:tcPr>
            <w:tcW w:w="7087" w:type="dxa"/>
          </w:tcPr>
          <w:p w:rsidR="001D1C83" w:rsidRPr="005D0D13" w:rsidRDefault="001D1C83" w:rsidP="00B735ED">
            <w:pPr>
              <w:spacing w:line="360" w:lineRule="auto"/>
              <w:cnfStyle w:val="000000010000"/>
              <w:rPr>
                <w:rFonts w:cs="Times New Roman"/>
                <w:lang w:val="pt-BR"/>
              </w:rPr>
            </w:pPr>
            <w:r w:rsidRPr="005D0D13">
              <w:rPr>
                <w:rFonts w:cs="Times New Roman"/>
                <w:lang w:val="pt-BR"/>
              </w:rPr>
              <w:t>autoconfiança; autoestima; capacidade de relacionamento interpessoal; confiança na escolha profissional; autorealização; valorização da formação, participação em eventos e outras atividades acadêmicas de formação</w:t>
            </w:r>
          </w:p>
        </w:tc>
      </w:tr>
      <w:tr w:rsidR="001D1C83" w:rsidRPr="00914270" w:rsidTr="00B735ED">
        <w:trPr>
          <w:cnfStyle w:val="000000100000"/>
        </w:trPr>
        <w:tc>
          <w:tcPr>
            <w:cnfStyle w:val="001000000000"/>
            <w:tcW w:w="1985" w:type="dxa"/>
          </w:tcPr>
          <w:p w:rsidR="001D1C83" w:rsidRPr="005D0D13" w:rsidRDefault="001D1C83" w:rsidP="00B735ED">
            <w:pPr>
              <w:spacing w:line="360" w:lineRule="auto"/>
              <w:rPr>
                <w:rFonts w:cs="Times New Roman"/>
                <w:lang w:val="pt-BR"/>
              </w:rPr>
            </w:pPr>
            <w:r w:rsidRPr="005D0D13">
              <w:rPr>
                <w:rFonts w:cs="Times New Roman"/>
                <w:lang w:val="pt-BR"/>
              </w:rPr>
              <w:t>Sociais</w:t>
            </w:r>
          </w:p>
        </w:tc>
        <w:tc>
          <w:tcPr>
            <w:tcW w:w="7087" w:type="dxa"/>
          </w:tcPr>
          <w:p w:rsidR="001D1C83" w:rsidRPr="005D0D13" w:rsidRDefault="001D1C83" w:rsidP="00B735ED">
            <w:pPr>
              <w:spacing w:line="360" w:lineRule="auto"/>
              <w:cnfStyle w:val="000000100000"/>
              <w:rPr>
                <w:rFonts w:cs="Times New Roman"/>
                <w:lang w:val="pt-BR"/>
              </w:rPr>
            </w:pPr>
            <w:r w:rsidRPr="005D0D13">
              <w:rPr>
                <w:rFonts w:cs="Times New Roman"/>
                <w:lang w:val="pt-BR"/>
              </w:rPr>
              <w:t>Capacidade de trabalhar em equipe, tolerância às diferenças, atitudes positivas em relação ao outro</w:t>
            </w:r>
          </w:p>
        </w:tc>
      </w:tr>
      <w:tr w:rsidR="001D1C83" w:rsidRPr="00914270" w:rsidTr="00997EB6">
        <w:trPr>
          <w:cnfStyle w:val="000000010000"/>
        </w:trPr>
        <w:tc>
          <w:tcPr>
            <w:cnfStyle w:val="001000000000"/>
            <w:tcW w:w="1985" w:type="dxa"/>
            <w:tcBorders>
              <w:bottom w:val="single" w:sz="8" w:space="0" w:color="78C0D4" w:themeColor="accent5" w:themeTint="BF"/>
            </w:tcBorders>
          </w:tcPr>
          <w:p w:rsidR="001D1C83" w:rsidRPr="005D0D13" w:rsidRDefault="001D1C83" w:rsidP="00B735ED">
            <w:pPr>
              <w:spacing w:line="360" w:lineRule="auto"/>
              <w:rPr>
                <w:rFonts w:cs="Times New Roman"/>
                <w:lang w:val="pt-BR"/>
              </w:rPr>
            </w:pPr>
            <w:r w:rsidRPr="005D0D13">
              <w:rPr>
                <w:rFonts w:cs="Times New Roman"/>
                <w:lang w:val="pt-BR"/>
              </w:rPr>
              <w:t>Cívicas e políticas</w:t>
            </w:r>
          </w:p>
        </w:tc>
        <w:tc>
          <w:tcPr>
            <w:tcW w:w="7087" w:type="dxa"/>
            <w:tcBorders>
              <w:bottom w:val="single" w:sz="8" w:space="0" w:color="78C0D4" w:themeColor="accent5" w:themeTint="BF"/>
            </w:tcBorders>
          </w:tcPr>
          <w:p w:rsidR="001D1C83" w:rsidRPr="005D0D13" w:rsidRDefault="001D1C83" w:rsidP="00B735ED">
            <w:pPr>
              <w:spacing w:line="360" w:lineRule="auto"/>
              <w:cnfStyle w:val="000000010000"/>
              <w:rPr>
                <w:rFonts w:cs="Times New Roman"/>
                <w:lang w:val="pt-BR"/>
              </w:rPr>
            </w:pPr>
            <w:r w:rsidRPr="005D0D13">
              <w:rPr>
                <w:rFonts w:cs="Times New Roman"/>
                <w:lang w:val="pt-BR"/>
              </w:rPr>
              <w:t>capacidade de participar e interferir em questões da esfera política e social; compreensão sobre estas esferas; empatia</w:t>
            </w:r>
          </w:p>
        </w:tc>
      </w:tr>
      <w:tr w:rsidR="001D1C83" w:rsidRPr="00914270" w:rsidTr="00997EB6">
        <w:trPr>
          <w:cnfStyle w:val="000000100000"/>
          <w:trHeight w:val="982"/>
        </w:trPr>
        <w:tc>
          <w:tcPr>
            <w:cnfStyle w:val="001000000000"/>
            <w:tcW w:w="1985" w:type="dxa"/>
            <w:tcBorders>
              <w:bottom w:val="single" w:sz="4" w:space="0" w:color="auto"/>
            </w:tcBorders>
          </w:tcPr>
          <w:p w:rsidR="001D1C83" w:rsidRPr="005D0D13" w:rsidRDefault="001D1C83" w:rsidP="00B735ED">
            <w:pPr>
              <w:spacing w:line="360" w:lineRule="auto"/>
              <w:rPr>
                <w:rFonts w:cs="Times New Roman"/>
                <w:lang w:val="pt-BR"/>
              </w:rPr>
            </w:pPr>
            <w:r w:rsidRPr="005D0D13">
              <w:rPr>
                <w:rFonts w:cs="Times New Roman"/>
                <w:lang w:val="pt-BR"/>
              </w:rPr>
              <w:t>Cognitivas</w:t>
            </w:r>
          </w:p>
        </w:tc>
        <w:tc>
          <w:tcPr>
            <w:tcW w:w="7087" w:type="dxa"/>
            <w:tcBorders>
              <w:bottom w:val="single" w:sz="4" w:space="0" w:color="auto"/>
            </w:tcBorders>
          </w:tcPr>
          <w:p w:rsidR="001D1C83" w:rsidRPr="005D0D13" w:rsidRDefault="001D1C83" w:rsidP="00B735ED">
            <w:pPr>
              <w:spacing w:line="360" w:lineRule="auto"/>
              <w:cnfStyle w:val="000000100000"/>
              <w:rPr>
                <w:rFonts w:cs="Times New Roman"/>
                <w:lang w:val="pt-BR"/>
              </w:rPr>
            </w:pPr>
            <w:r w:rsidRPr="005D0D13">
              <w:rPr>
                <w:rFonts w:cs="Times New Roman"/>
                <w:lang w:val="pt-BR"/>
              </w:rPr>
              <w:t>aprender a aprender; capacidade de expressão escrita; desenvolvimento da memória, capacidade de articular diferentes dimensões de conhecimento.</w:t>
            </w:r>
          </w:p>
        </w:tc>
      </w:tr>
    </w:tbl>
    <w:p w:rsidR="00775F1F" w:rsidRDefault="001D1C83" w:rsidP="001D1C83">
      <w:pPr>
        <w:spacing w:before="120" w:after="120" w:line="360" w:lineRule="auto"/>
        <w:jc w:val="right"/>
        <w:rPr>
          <w:rFonts w:cs="GillSans-LightItalic"/>
          <w:iCs/>
          <w:sz w:val="24"/>
          <w:szCs w:val="24"/>
          <w:lang w:val="pt-BR"/>
        </w:rPr>
      </w:pPr>
      <w:r w:rsidRPr="00EB4489">
        <w:rPr>
          <w:rFonts w:cs="Times New Roman"/>
          <w:sz w:val="20"/>
          <w:szCs w:val="20"/>
        </w:rPr>
        <w:t>Adaptado de Conway et al. 2009 e Coelho, 2014.</w:t>
      </w:r>
    </w:p>
    <w:p w:rsidR="001D1C83" w:rsidRDefault="001D1C83" w:rsidP="00730915">
      <w:pPr>
        <w:spacing w:line="360" w:lineRule="auto"/>
        <w:jc w:val="both"/>
        <w:rPr>
          <w:sz w:val="24"/>
          <w:szCs w:val="24"/>
          <w:lang w:val="es-ES"/>
        </w:rPr>
      </w:pPr>
    </w:p>
    <w:p w:rsidR="00C31562" w:rsidRPr="00EB4489" w:rsidRDefault="00C31562" w:rsidP="00C31562">
      <w:pPr>
        <w:spacing w:after="120" w:line="360" w:lineRule="auto"/>
        <w:jc w:val="both"/>
        <w:rPr>
          <w:rFonts w:cs="GillSans-LightItalic"/>
          <w:iCs/>
          <w:sz w:val="24"/>
          <w:szCs w:val="24"/>
          <w:lang w:val="pt-BR"/>
        </w:rPr>
      </w:pPr>
      <w:r w:rsidRPr="00B56B54">
        <w:rPr>
          <w:rFonts w:cs="GillSans-LightItalic"/>
          <w:iCs/>
          <w:sz w:val="24"/>
          <w:szCs w:val="24"/>
          <w:lang w:val="pt-BR"/>
        </w:rPr>
        <w:t xml:space="preserve">Alguns estudos confirmam que a participação em atividades com a comunidade externa promove desenvolvimento superior das capacidades profissionais e pessoais quando se comparam grupos de estudantes que participaram destas atividades com grupos que não participaram, ou que tiveram envolvimento em atividades </w:t>
      </w:r>
      <w:r w:rsidRPr="00EB4489">
        <w:rPr>
          <w:rFonts w:cs="GillSans-LightItalic"/>
          <w:iCs/>
          <w:sz w:val="24"/>
          <w:szCs w:val="24"/>
          <w:lang w:val="pt-BR"/>
        </w:rPr>
        <w:t>alternativas (por exemplo, desenvolvimento de atividades de pesquisa).</w:t>
      </w:r>
    </w:p>
    <w:p w:rsidR="00C31562" w:rsidRDefault="00C31562" w:rsidP="00C31562">
      <w:pPr>
        <w:spacing w:line="360" w:lineRule="auto"/>
        <w:jc w:val="both"/>
        <w:rPr>
          <w:rFonts w:cs="Times New Roman"/>
          <w:sz w:val="24"/>
          <w:szCs w:val="24"/>
          <w:lang w:val="pt-BR"/>
        </w:rPr>
      </w:pPr>
      <w:r w:rsidRPr="00EB4489">
        <w:rPr>
          <w:rFonts w:cs="GillSans-LightItalic"/>
          <w:iCs/>
          <w:sz w:val="24"/>
          <w:szCs w:val="24"/>
          <w:lang w:val="pt-BR"/>
        </w:rPr>
        <w:t xml:space="preserve">Um dos estudos mais abrangentes sobre o tema foi o de </w:t>
      </w:r>
      <w:r w:rsidRPr="00EB4489">
        <w:rPr>
          <w:rFonts w:cs="Times New Roman"/>
          <w:sz w:val="24"/>
          <w:szCs w:val="24"/>
          <w:lang w:val="pt-BR"/>
        </w:rPr>
        <w:t xml:space="preserve">Vogelgesang e Astin (2000), que envolveu mais de 19.000 estudantes de 177 diferentes universidades estadunidenses, buscando comparar três possíveis trajetórias de formação </w:t>
      </w:r>
      <w:r w:rsidRPr="00EB4489">
        <w:rPr>
          <w:rFonts w:cs="Times New Roman"/>
          <w:sz w:val="24"/>
          <w:szCs w:val="24"/>
          <w:lang w:val="pt-BR"/>
        </w:rPr>
        <w:lastRenderedPageBreak/>
        <w:t>universitária: uma que incluiu experiências extra-curriculares voluntárias de extensão com a comunidade, uma segunda caracterizada por disciplinas que envolviam aprendizado através de serviços à comunidade (</w:t>
      </w:r>
      <w:r w:rsidRPr="00EB4489">
        <w:rPr>
          <w:rFonts w:cs="Times New Roman"/>
          <w:i/>
          <w:sz w:val="24"/>
          <w:szCs w:val="24"/>
          <w:lang w:val="pt-BR"/>
        </w:rPr>
        <w:t>service learning</w:t>
      </w:r>
      <w:r w:rsidRPr="00EB4489">
        <w:rPr>
          <w:rFonts w:cs="Times New Roman"/>
          <w:sz w:val="24"/>
          <w:szCs w:val="24"/>
          <w:lang w:val="pt-BR"/>
        </w:rPr>
        <w:t>), e uma terceira sem qualquer envolvimento em atividades junto à comunidade. Tanto as atividades comunitárias voluntárias quanto àquelas ligadas a disciplinas promoveram valores superiores para todas as variáveis analisadas: desenvolvimento cognitivo, notas, evolução afetivo-comportamental e interesses cívicos. Porém, aqueles cujo engajamento comunitário esteve vinculado a disciplinas tiveram resultados ligeiramente superiores nos aspectos cognitivos e em notas. A importância da inserção institucional de forma estruturada (disciplinas, estudos orientados) é corroborada pela análise de Conway et al. (2009) que verificaram que momentos e atividades dedicadas à reflexão e análise da experiência (</w:t>
      </w:r>
      <w:r w:rsidRPr="00EB4489">
        <w:rPr>
          <w:rFonts w:cs="Times New Roman"/>
          <w:i/>
          <w:sz w:val="24"/>
          <w:szCs w:val="24"/>
          <w:lang w:val="pt-BR"/>
        </w:rPr>
        <w:t>structured reflection</w:t>
      </w:r>
      <w:r w:rsidRPr="00EB4489">
        <w:rPr>
          <w:rFonts w:cs="Times New Roman"/>
          <w:sz w:val="24"/>
          <w:szCs w:val="24"/>
          <w:lang w:val="pt-BR"/>
        </w:rPr>
        <w:t>) gerou resultados mais significativos do que a simples participação em atividades com a comunidade.</w:t>
      </w:r>
    </w:p>
    <w:p w:rsidR="00C31562" w:rsidRPr="00EB4489" w:rsidRDefault="00C31562" w:rsidP="00C31562">
      <w:pPr>
        <w:spacing w:line="360" w:lineRule="auto"/>
        <w:jc w:val="both"/>
        <w:rPr>
          <w:rFonts w:cs="Times New Roman"/>
          <w:sz w:val="24"/>
          <w:szCs w:val="24"/>
          <w:lang w:val="pt-BR"/>
        </w:rPr>
      </w:pPr>
      <w:r w:rsidRPr="00EB4489">
        <w:rPr>
          <w:rFonts w:cs="Times New Roman"/>
          <w:sz w:val="24"/>
          <w:szCs w:val="24"/>
          <w:lang w:val="pt-BR"/>
        </w:rPr>
        <w:t>Em uma meta-análise de estudos sobre o impacto da aprendizagem em serviço, Conway et al. (2009) destacaram o impacto positivo sobre as capacidades cognitivas e motivação acadêmica e sobre as capacidades sociais, porém resultados menos significativos para capacidades cívicas e afetivo-comportamentais. Hébert e Hauf (2015) confirmaram que a participação em atividades de aprendizagem em serviço melhora o domínio do conteúdo, quando compararam estudantes que participaram de atividades deste tipo e que não participaram. Porém, verificaram que esta diferença somente é detectada através de avaliações desenhadas especificamente para tal fim (aplicadas antes de depois da experiência) e que tal diferença não é detectada quando se comparam as notas obtidas através dos exames oficiais.</w:t>
      </w:r>
    </w:p>
    <w:p w:rsidR="00C31562" w:rsidRPr="00EB4489" w:rsidRDefault="008A36C0" w:rsidP="00C31562">
      <w:pPr>
        <w:spacing w:line="360" w:lineRule="auto"/>
        <w:jc w:val="both"/>
        <w:rPr>
          <w:rFonts w:cs="Times New Roman"/>
          <w:sz w:val="24"/>
          <w:szCs w:val="24"/>
          <w:lang w:val="pt-BR"/>
        </w:rPr>
      </w:pPr>
      <w:r w:rsidRPr="008A36C0">
        <w:rPr>
          <w:rFonts w:cs="Times New Roman"/>
          <w:sz w:val="24"/>
          <w:szCs w:val="24"/>
          <w:lang w:val="es-ES"/>
        </w:rPr>
        <w:t xml:space="preserve"> </w:t>
      </w:r>
      <w:r w:rsidR="00C31562" w:rsidRPr="00EB4489">
        <w:rPr>
          <w:rFonts w:cs="Times New Roman"/>
          <w:sz w:val="24"/>
          <w:szCs w:val="24"/>
          <w:lang w:val="pt-BR"/>
        </w:rPr>
        <w:t>Os resultados acima indicam que a aprendizagem experiencial com engajamento comunitário não conflita com o desenvolvimento do domínio de conteúdos, ao contrário do que o senso comum poderia indicar.</w:t>
      </w:r>
    </w:p>
    <w:p w:rsidR="00C31562" w:rsidRPr="009B31C1" w:rsidRDefault="00C31562" w:rsidP="00C31562">
      <w:pPr>
        <w:spacing w:line="360" w:lineRule="auto"/>
        <w:jc w:val="both"/>
        <w:rPr>
          <w:rFonts w:cs="Times New Roman"/>
          <w:i/>
          <w:sz w:val="24"/>
          <w:szCs w:val="24"/>
          <w:lang w:val="pt-BR"/>
        </w:rPr>
      </w:pPr>
      <w:r w:rsidRPr="009B31C1">
        <w:rPr>
          <w:rFonts w:cs="Times New Roman"/>
          <w:i/>
          <w:sz w:val="24"/>
          <w:szCs w:val="24"/>
          <w:lang w:val="pt-BR"/>
        </w:rPr>
        <w:t>Os estudos no Brasil</w:t>
      </w:r>
    </w:p>
    <w:p w:rsidR="00C31562" w:rsidRPr="009B31C1" w:rsidRDefault="00C31562" w:rsidP="00C31562">
      <w:pPr>
        <w:spacing w:line="360" w:lineRule="auto"/>
        <w:jc w:val="both"/>
        <w:rPr>
          <w:rFonts w:cs="Times New Roman"/>
          <w:sz w:val="24"/>
          <w:szCs w:val="24"/>
          <w:lang w:val="pt-BR"/>
        </w:rPr>
      </w:pPr>
      <w:r w:rsidRPr="009B31C1">
        <w:rPr>
          <w:rFonts w:cs="GillSans-LightItalic"/>
          <w:iCs/>
          <w:sz w:val="24"/>
          <w:szCs w:val="24"/>
          <w:lang w:val="pt-BR"/>
        </w:rPr>
        <w:t xml:space="preserve">O número de estudos sobre o impacto da </w:t>
      </w:r>
      <w:r w:rsidRPr="009B31C1">
        <w:rPr>
          <w:rFonts w:cs="Times New Roman"/>
          <w:sz w:val="24"/>
          <w:szCs w:val="24"/>
          <w:lang w:val="pt-BR"/>
        </w:rPr>
        <w:t xml:space="preserve">aprendizagem experiencial com engajamento comunitário no Brasil tem crescido, com foco especial na extensão </w:t>
      </w:r>
      <w:r w:rsidRPr="009B31C1">
        <w:rPr>
          <w:rFonts w:cs="Times New Roman"/>
          <w:sz w:val="24"/>
          <w:szCs w:val="24"/>
          <w:lang w:val="pt-BR"/>
        </w:rPr>
        <w:lastRenderedPageBreak/>
        <w:t>universitária. Porém, em geral faltam a estes estudos a comparação com grupos controle ou entre avaliações antes e após a experiência (COELHO, 2014), o que limitam as conclusões e generalizações.</w:t>
      </w:r>
    </w:p>
    <w:p w:rsidR="00C31562" w:rsidRPr="009B31C1" w:rsidRDefault="00C31562" w:rsidP="00C31562">
      <w:pPr>
        <w:spacing w:line="360" w:lineRule="auto"/>
        <w:jc w:val="both"/>
        <w:rPr>
          <w:rFonts w:cs="Times New Roman"/>
          <w:sz w:val="24"/>
          <w:szCs w:val="24"/>
          <w:lang w:val="pt-BR"/>
        </w:rPr>
      </w:pPr>
      <w:r w:rsidRPr="009B31C1">
        <w:rPr>
          <w:rFonts w:cs="Times New Roman"/>
          <w:sz w:val="24"/>
          <w:szCs w:val="24"/>
          <w:lang w:val="pt-BR"/>
        </w:rPr>
        <w:t>Não obstante, alguns estudos (FADEL et al.</w:t>
      </w:r>
      <w:r w:rsidR="00870D28">
        <w:rPr>
          <w:rFonts w:cs="Times New Roman"/>
          <w:sz w:val="24"/>
          <w:szCs w:val="24"/>
          <w:lang w:val="pt-BR"/>
        </w:rPr>
        <w:t>,</w:t>
      </w:r>
      <w:r w:rsidRPr="009B31C1">
        <w:rPr>
          <w:rFonts w:cs="Times New Roman"/>
          <w:sz w:val="24"/>
          <w:szCs w:val="24"/>
          <w:lang w:val="pt-BR"/>
        </w:rPr>
        <w:t xml:space="preserve"> 2013, NOZAKI et al.</w:t>
      </w:r>
      <w:r w:rsidR="00870D28">
        <w:rPr>
          <w:rFonts w:cs="Times New Roman"/>
          <w:sz w:val="24"/>
          <w:szCs w:val="24"/>
          <w:lang w:val="pt-BR"/>
        </w:rPr>
        <w:t>,</w:t>
      </w:r>
      <w:r w:rsidRPr="009B31C1">
        <w:rPr>
          <w:rFonts w:cs="Times New Roman"/>
          <w:sz w:val="24"/>
          <w:szCs w:val="24"/>
          <w:lang w:val="pt-BR"/>
        </w:rPr>
        <w:t xml:space="preserve"> 2015) apresentam evidências de que a atividade universitária não só permite o desenvolvimento de capacidades profissionais importantes, como também representa uma oportunidade de desenvolvimento que o próprio exercício profissional não oferece. A oportunidade de conviver e debater com outros colegas e professores (eventualmente de múltiplas áreas de conhecimento) e ao mesmo tempo vivenciar uma experiência de atuação em uma situação real não se reproduz no ambiente de trabalho ao qual que se vinculam os profissionais recém-formados.</w:t>
      </w:r>
    </w:p>
    <w:p w:rsidR="00C31562" w:rsidRDefault="00C31562" w:rsidP="00C31562">
      <w:pPr>
        <w:spacing w:after="120" w:line="360" w:lineRule="auto"/>
        <w:rPr>
          <w:b/>
          <w:i/>
          <w:sz w:val="24"/>
          <w:szCs w:val="24"/>
          <w:lang w:val="pt-BR"/>
        </w:rPr>
      </w:pPr>
      <w:r w:rsidRPr="009B31C1">
        <w:rPr>
          <w:b/>
          <w:i/>
          <w:sz w:val="24"/>
          <w:szCs w:val="24"/>
          <w:lang w:val="pt-BR"/>
        </w:rPr>
        <w:t>A inserção da extensão universitária no currículo</w:t>
      </w:r>
    </w:p>
    <w:p w:rsidR="00ED2D6D" w:rsidRPr="00ED2D6D" w:rsidRDefault="00C31562" w:rsidP="00C31562">
      <w:pPr>
        <w:spacing w:after="120" w:line="360" w:lineRule="auto"/>
        <w:rPr>
          <w:sz w:val="24"/>
          <w:szCs w:val="24"/>
          <w:lang w:val="es-ES"/>
        </w:rPr>
      </w:pPr>
      <w:r w:rsidRPr="009B31C1">
        <w:rPr>
          <w:sz w:val="24"/>
          <w:szCs w:val="24"/>
          <w:lang w:val="pt-BR"/>
        </w:rPr>
        <w:t>Em 2001, o Plano Nacional de Educação brasileiro para o decênio 2001-2010 (Lei Federal nº 10.172/2001) em sua Meta 23 para a educação superior, indicou a reserva mínima de dez por cento do total de créditos exigidos para a graduação no ensino superior no País, para a atuação dos estudantes em atividades de extensão (BRASIL, 2001). A referida Meta foi mantida no novo Plano Nacional de Educação (2014-2024), Lei Federal nº 13.005, que propõe “assegurar, no mínimo, 10% (dez por cento) do total de créditos curriculares exigidos para a graduação em programas e projetos de extensão universitária, orientando sua ação, prioritariamente, para áreas de grande pertinência social” (BRASIL, 2014).</w:t>
      </w:r>
      <w:r>
        <w:rPr>
          <w:sz w:val="24"/>
          <w:szCs w:val="24"/>
          <w:lang w:val="pt-BR"/>
        </w:rPr>
        <w:t xml:space="preserve"> </w:t>
      </w:r>
      <w:r w:rsidRPr="009B31C1">
        <w:rPr>
          <w:sz w:val="24"/>
          <w:szCs w:val="24"/>
          <w:lang w:val="pt-BR"/>
        </w:rPr>
        <w:t>Porém, a inserção da extensão na formação de futuros profissionais (curricularização) permanece restrita a experiências isoladas. Antes de tratar as possíveis causas para isto, cabe destacar algumas experiências de integração da extensão universitária no currículo, no Brasil e em outros países.</w:t>
      </w:r>
    </w:p>
    <w:p w:rsidR="00ED2D6D" w:rsidRPr="005A07F2" w:rsidRDefault="000116C9" w:rsidP="008D1BE2">
      <w:pPr>
        <w:spacing w:after="120" w:line="360" w:lineRule="auto"/>
        <w:jc w:val="both"/>
        <w:rPr>
          <w:sz w:val="24"/>
          <w:szCs w:val="24"/>
          <w:lang w:val="es-ES"/>
        </w:rPr>
      </w:pPr>
      <w:r w:rsidRPr="009B31C1">
        <w:rPr>
          <w:sz w:val="24"/>
          <w:szCs w:val="24"/>
          <w:lang w:val="pt-BR"/>
        </w:rPr>
        <w:t xml:space="preserve">A UFRJ iniciou com um levantamento que resultou em uma lista de 228 disciplinas ou requisitos curriculares suplementares, 145 programas ou projetos e 234 ações classificadas como outras atividades extensionistas, tais como eventos e cursos de extensão. Porém, em 2012, nenhum dos currículos dos cursos de graduação da UFRJ alcançava os 10% de créditos em extensão. A partir da discussão destes dados, uma </w:t>
      </w:r>
      <w:r w:rsidRPr="009B31C1">
        <w:rPr>
          <w:sz w:val="24"/>
          <w:szCs w:val="24"/>
          <w:lang w:val="pt-BR"/>
        </w:rPr>
        <w:lastRenderedPageBreak/>
        <w:t xml:space="preserve">resolução do Conselho Universitário da UFRJ determinou a criação da categoria </w:t>
      </w:r>
      <w:r w:rsidRPr="009B31C1">
        <w:rPr>
          <w:i/>
          <w:sz w:val="24"/>
          <w:szCs w:val="24"/>
          <w:lang w:val="pt-BR"/>
        </w:rPr>
        <w:t>‘</w:t>
      </w:r>
      <w:r w:rsidRPr="009B31C1">
        <w:rPr>
          <w:i/>
          <w:iCs/>
          <w:sz w:val="24"/>
          <w:szCs w:val="24"/>
          <w:lang w:val="pt-BR"/>
        </w:rPr>
        <w:t>Atividades Curriculares de Extensão’</w:t>
      </w:r>
      <w:r w:rsidRPr="009B31C1">
        <w:rPr>
          <w:iCs/>
          <w:sz w:val="24"/>
          <w:szCs w:val="24"/>
          <w:lang w:val="pt-BR"/>
        </w:rPr>
        <w:t xml:space="preserve">. A </w:t>
      </w:r>
      <w:r w:rsidRPr="009B31C1">
        <w:rPr>
          <w:sz w:val="24"/>
          <w:szCs w:val="24"/>
          <w:lang w:val="pt-BR"/>
        </w:rPr>
        <w:t>inserção das atividades de extensão nos cursos de graduação foi aprovada como obrigatória e com o percentual mínimo de dez por cento. A seguir foram realizadas reuniões com os coordenadores de curso para organizar a inserção das atividades de extensão na creditação dos cursos, que passaram a ocorrer conforme as modalidades descritas na Tabela 3. Até 2015, cerca de 7% dos cursos de graduação alcançaram o percentual de 10% de sua carga horária em atividades de extensão (BENETTI et al., 2015</w:t>
      </w:r>
      <w:r>
        <w:rPr>
          <w:sz w:val="24"/>
          <w:szCs w:val="24"/>
          <w:lang w:val="pt-BR"/>
        </w:rPr>
        <w:t>)</w:t>
      </w:r>
      <w:r w:rsidR="005A07F2" w:rsidRPr="009B31C1">
        <w:rPr>
          <w:sz w:val="24"/>
          <w:szCs w:val="24"/>
          <w:lang w:val="pt-BR"/>
        </w:rPr>
        <w:t>.</w:t>
      </w:r>
    </w:p>
    <w:p w:rsidR="00730915" w:rsidRDefault="00730915" w:rsidP="00402E9D">
      <w:pPr>
        <w:pStyle w:val="Default"/>
        <w:spacing w:line="360" w:lineRule="auto"/>
        <w:rPr>
          <w:rFonts w:asciiTheme="minorHAnsi" w:hAnsiTheme="minorHAnsi"/>
          <w:b/>
          <w:bCs/>
          <w:lang w:val="es-ES"/>
        </w:rPr>
      </w:pPr>
    </w:p>
    <w:p w:rsidR="005D408C" w:rsidRPr="00744A36" w:rsidRDefault="005D408C" w:rsidP="005D408C">
      <w:pPr>
        <w:pStyle w:val="Default"/>
        <w:spacing w:line="360" w:lineRule="auto"/>
        <w:rPr>
          <w:rFonts w:asciiTheme="minorHAnsi" w:hAnsiTheme="minorHAnsi"/>
        </w:rPr>
      </w:pPr>
      <w:r w:rsidRPr="00744A36">
        <w:rPr>
          <w:rFonts w:asciiTheme="minorHAnsi" w:hAnsiTheme="minorHAnsi"/>
          <w:b/>
          <w:bCs/>
        </w:rPr>
        <w:t xml:space="preserve">Tabela </w:t>
      </w:r>
      <w:r>
        <w:rPr>
          <w:rFonts w:asciiTheme="minorHAnsi" w:hAnsiTheme="minorHAnsi"/>
          <w:b/>
          <w:bCs/>
        </w:rPr>
        <w:t>3</w:t>
      </w:r>
      <w:r w:rsidRPr="00744A36">
        <w:rPr>
          <w:rFonts w:asciiTheme="minorHAnsi" w:hAnsiTheme="minorHAnsi"/>
        </w:rPr>
        <w:t xml:space="preserve">. Inserção da Extensão na grade curricular dos cursos de graduação da UFRJ. </w:t>
      </w:r>
    </w:p>
    <w:p w:rsidR="005D408C" w:rsidRPr="00744A36" w:rsidRDefault="005D408C" w:rsidP="005D408C">
      <w:pPr>
        <w:pStyle w:val="Default"/>
        <w:tabs>
          <w:tab w:val="left" w:pos="2077"/>
        </w:tabs>
        <w:rPr>
          <w:rFonts w:asciiTheme="minorHAnsi" w:hAnsiTheme="minorHAnsi"/>
          <w:b/>
        </w:rPr>
      </w:pPr>
    </w:p>
    <w:tbl>
      <w:tblPr>
        <w:tblW w:w="0" w:type="auto"/>
        <w:tblInd w:w="250" w:type="dxa"/>
        <w:tblBorders>
          <w:top w:val="nil"/>
          <w:left w:val="nil"/>
          <w:bottom w:val="nil"/>
          <w:right w:val="nil"/>
        </w:tblBorders>
        <w:tblLayout w:type="fixed"/>
        <w:tblLook w:val="0000"/>
      </w:tblPr>
      <w:tblGrid>
        <w:gridCol w:w="3119"/>
        <w:gridCol w:w="3118"/>
      </w:tblGrid>
      <w:tr w:rsidR="005D408C" w:rsidRPr="00744A36" w:rsidTr="00B735ED">
        <w:trPr>
          <w:trHeight w:val="90"/>
        </w:trPr>
        <w:tc>
          <w:tcPr>
            <w:tcW w:w="3119" w:type="dxa"/>
            <w:tcBorders>
              <w:top w:val="single" w:sz="4" w:space="0" w:color="auto"/>
              <w:bottom w:val="single" w:sz="4" w:space="0" w:color="auto"/>
            </w:tcBorders>
            <w:shd w:val="clear" w:color="auto" w:fill="8DB3E2" w:themeFill="text2" w:themeFillTint="66"/>
          </w:tcPr>
          <w:p w:rsidR="005D408C" w:rsidRPr="00744A36" w:rsidRDefault="005D408C" w:rsidP="00B735ED">
            <w:pPr>
              <w:pStyle w:val="Default"/>
              <w:spacing w:line="360" w:lineRule="auto"/>
              <w:rPr>
                <w:rFonts w:asciiTheme="minorHAnsi" w:hAnsiTheme="minorHAnsi"/>
                <w:b/>
              </w:rPr>
            </w:pPr>
            <w:r w:rsidRPr="00744A36">
              <w:rPr>
                <w:rFonts w:asciiTheme="minorHAnsi" w:hAnsiTheme="minorHAnsi"/>
                <w:b/>
              </w:rPr>
              <w:t>Categorias</w:t>
            </w:r>
          </w:p>
        </w:tc>
        <w:tc>
          <w:tcPr>
            <w:tcW w:w="3118" w:type="dxa"/>
            <w:tcBorders>
              <w:top w:val="single" w:sz="4" w:space="0" w:color="auto"/>
              <w:bottom w:val="single" w:sz="4" w:space="0" w:color="auto"/>
            </w:tcBorders>
            <w:shd w:val="clear" w:color="auto" w:fill="8DB3E2" w:themeFill="text2" w:themeFillTint="66"/>
          </w:tcPr>
          <w:p w:rsidR="005D408C" w:rsidRPr="00744A36" w:rsidRDefault="005D408C" w:rsidP="00B735ED">
            <w:pPr>
              <w:pStyle w:val="Default"/>
              <w:spacing w:line="360" w:lineRule="auto"/>
              <w:rPr>
                <w:rFonts w:asciiTheme="minorHAnsi" w:hAnsiTheme="minorHAnsi"/>
                <w:b/>
              </w:rPr>
            </w:pPr>
            <w:r w:rsidRPr="00744A36">
              <w:rPr>
                <w:rFonts w:asciiTheme="minorHAnsi" w:hAnsiTheme="minorHAnsi"/>
                <w:b/>
              </w:rPr>
              <w:t>Carga horária</w:t>
            </w:r>
          </w:p>
        </w:tc>
      </w:tr>
      <w:tr w:rsidR="005D408C" w:rsidRPr="00744A36" w:rsidTr="00B735ED">
        <w:trPr>
          <w:trHeight w:val="90"/>
        </w:trPr>
        <w:tc>
          <w:tcPr>
            <w:tcW w:w="3119" w:type="dxa"/>
            <w:tcBorders>
              <w:top w:val="single" w:sz="4" w:space="0" w:color="auto"/>
            </w:tcBorders>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Programas e Projetos I, II, III </w:t>
            </w:r>
          </w:p>
        </w:tc>
        <w:tc>
          <w:tcPr>
            <w:tcW w:w="3118" w:type="dxa"/>
            <w:tcBorders>
              <w:top w:val="single" w:sz="4" w:space="0" w:color="auto"/>
            </w:tcBorders>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90h,180h,180h </w:t>
            </w:r>
          </w:p>
        </w:tc>
      </w:tr>
      <w:tr w:rsidR="005D408C" w:rsidRPr="00744A36" w:rsidTr="00B735ED">
        <w:trPr>
          <w:trHeight w:val="90"/>
        </w:trPr>
        <w:tc>
          <w:tcPr>
            <w:tcW w:w="3119" w:type="dxa"/>
            <w:shd w:val="clear" w:color="auto" w:fill="C6D9F1" w:themeFill="text2" w:themeFillTint="33"/>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Cursos de Extensão I, II, III </w:t>
            </w:r>
          </w:p>
        </w:tc>
        <w:tc>
          <w:tcPr>
            <w:tcW w:w="3118" w:type="dxa"/>
            <w:shd w:val="clear" w:color="auto" w:fill="C6D9F1" w:themeFill="text2" w:themeFillTint="33"/>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30h, 45h, 60h </w:t>
            </w:r>
          </w:p>
        </w:tc>
      </w:tr>
      <w:tr w:rsidR="005D408C" w:rsidRPr="00744A36" w:rsidTr="00B735ED">
        <w:trPr>
          <w:trHeight w:val="90"/>
        </w:trPr>
        <w:tc>
          <w:tcPr>
            <w:tcW w:w="3119" w:type="dxa"/>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Eventos de Extensão </w:t>
            </w:r>
          </w:p>
        </w:tc>
        <w:tc>
          <w:tcPr>
            <w:tcW w:w="3118" w:type="dxa"/>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30h, 45h, 60h </w:t>
            </w:r>
          </w:p>
        </w:tc>
      </w:tr>
      <w:tr w:rsidR="005D408C" w:rsidRPr="00744A36" w:rsidTr="00B735ED">
        <w:trPr>
          <w:trHeight w:val="90"/>
        </w:trPr>
        <w:tc>
          <w:tcPr>
            <w:tcW w:w="3119" w:type="dxa"/>
            <w:tcBorders>
              <w:bottom w:val="nil"/>
            </w:tcBorders>
            <w:shd w:val="clear" w:color="auto" w:fill="C6D9F1" w:themeFill="text2" w:themeFillTint="33"/>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Iniciação à Extensão </w:t>
            </w:r>
          </w:p>
        </w:tc>
        <w:tc>
          <w:tcPr>
            <w:tcW w:w="3118" w:type="dxa"/>
            <w:tcBorders>
              <w:bottom w:val="nil"/>
            </w:tcBorders>
            <w:shd w:val="clear" w:color="auto" w:fill="C6D9F1" w:themeFill="text2" w:themeFillTint="33"/>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45h ou 60h </w:t>
            </w:r>
          </w:p>
        </w:tc>
      </w:tr>
      <w:tr w:rsidR="005D408C" w:rsidRPr="00744A36" w:rsidTr="00B735ED">
        <w:trPr>
          <w:trHeight w:val="90"/>
        </w:trPr>
        <w:tc>
          <w:tcPr>
            <w:tcW w:w="3119" w:type="dxa"/>
            <w:tcBorders>
              <w:top w:val="nil"/>
              <w:bottom w:val="single" w:sz="4" w:space="0" w:color="auto"/>
            </w:tcBorders>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Atividade de Extensão I, II, III </w:t>
            </w:r>
          </w:p>
        </w:tc>
        <w:tc>
          <w:tcPr>
            <w:tcW w:w="3118" w:type="dxa"/>
            <w:tcBorders>
              <w:top w:val="nil"/>
              <w:bottom w:val="single" w:sz="4" w:space="0" w:color="auto"/>
            </w:tcBorders>
          </w:tcPr>
          <w:p w:rsidR="005D408C" w:rsidRPr="00744A36" w:rsidRDefault="005D408C" w:rsidP="00B735ED">
            <w:pPr>
              <w:pStyle w:val="Default"/>
              <w:spacing w:line="360" w:lineRule="auto"/>
              <w:rPr>
                <w:rFonts w:asciiTheme="minorHAnsi" w:hAnsiTheme="minorHAnsi"/>
              </w:rPr>
            </w:pPr>
            <w:r w:rsidRPr="00744A36">
              <w:rPr>
                <w:rFonts w:asciiTheme="minorHAnsi" w:hAnsiTheme="minorHAnsi"/>
              </w:rPr>
              <w:t xml:space="preserve">60h, 90h,180h </w:t>
            </w:r>
          </w:p>
        </w:tc>
      </w:tr>
    </w:tbl>
    <w:p w:rsidR="005D408C" w:rsidRPr="00744A36" w:rsidRDefault="005D408C" w:rsidP="005D408C">
      <w:pPr>
        <w:spacing w:before="120" w:after="120"/>
        <w:ind w:left="2832" w:firstLine="708"/>
        <w:rPr>
          <w:sz w:val="24"/>
          <w:szCs w:val="24"/>
          <w:lang w:val="pt-BR"/>
        </w:rPr>
      </w:pPr>
      <w:r w:rsidRPr="00744A36">
        <w:rPr>
          <w:sz w:val="24"/>
          <w:szCs w:val="24"/>
          <w:lang w:val="pt-BR"/>
        </w:rPr>
        <w:t>Fonte: adaptado de Benetti et al. 2015</w:t>
      </w:r>
    </w:p>
    <w:p w:rsidR="00402E9D" w:rsidRDefault="00402E9D" w:rsidP="00402E9D">
      <w:pPr>
        <w:spacing w:after="120"/>
        <w:rPr>
          <w:lang w:val="pt-BR"/>
        </w:rPr>
      </w:pPr>
    </w:p>
    <w:p w:rsidR="005D408C" w:rsidRDefault="005D408C" w:rsidP="005D408C">
      <w:pPr>
        <w:spacing w:after="120" w:line="360" w:lineRule="auto"/>
        <w:rPr>
          <w:sz w:val="24"/>
          <w:szCs w:val="24"/>
          <w:lang w:val="pt-BR"/>
        </w:rPr>
      </w:pPr>
      <w:r w:rsidRPr="00EB4489">
        <w:rPr>
          <w:sz w:val="24"/>
          <w:szCs w:val="24"/>
          <w:lang w:val="pt-BR"/>
        </w:rPr>
        <w:t xml:space="preserve">Outro exemplo institucional importante é o caso da Universidade Federal da Bahia (UFBA). Para articular o ensino e a pesquisa com a extensão, em 1997 foi criado </w:t>
      </w:r>
      <w:r>
        <w:rPr>
          <w:sz w:val="24"/>
          <w:szCs w:val="24"/>
          <w:lang w:val="pt-BR"/>
        </w:rPr>
        <w:t>o Programa “UFBA em Campo”</w:t>
      </w:r>
      <w:r w:rsidRPr="00EB4489">
        <w:rPr>
          <w:sz w:val="24"/>
          <w:szCs w:val="24"/>
          <w:lang w:val="pt-BR"/>
        </w:rPr>
        <w:t xml:space="preserve">, objetivando criar novas maneiras de interação entre a universidade e a sociedade e compartilhar conhecimentos. Em 2000, esta iniciativa foi transformada em uma forma de inserção curricular denominada “Atividade Curricular em Comunidade (ACC)”. </w:t>
      </w:r>
    </w:p>
    <w:p w:rsidR="005D408C" w:rsidRPr="00EB4489" w:rsidRDefault="005D408C" w:rsidP="005D408C">
      <w:pPr>
        <w:spacing w:after="120" w:line="360" w:lineRule="auto"/>
        <w:rPr>
          <w:sz w:val="24"/>
          <w:szCs w:val="24"/>
          <w:lang w:val="pt-BR"/>
        </w:rPr>
      </w:pPr>
      <w:r w:rsidRPr="00EB4489">
        <w:rPr>
          <w:sz w:val="24"/>
          <w:szCs w:val="24"/>
          <w:lang w:val="pt-BR"/>
        </w:rPr>
        <w:t xml:space="preserve">No período de 2001 até 2012, em média, 500 alunos por semestre matricularam-se em ACC. Portanto, aproximadamente, 12.000 estudantes participaram dessas atividades num período de 11 anos, sendo que neste período foram ofertadas 703 ACC em diversos cursos. Posteriormente, as ACC foram transformadas em Ação Curricular em Comunidade e em Sociedade (ACCS), que passaram a ter o caráter de disciplinas com </w:t>
      </w:r>
      <w:r w:rsidRPr="00EB4489">
        <w:rPr>
          <w:sz w:val="24"/>
          <w:szCs w:val="24"/>
          <w:lang w:val="pt-BR"/>
        </w:rPr>
        <w:lastRenderedPageBreak/>
        <w:t>pelo menos 17 horas cada. As atividades desenvolvidas são livremente planejadas e escolhidas pelos docentes e estudantes, a cada semestre. Em 2013, 88 ACCS foram ofertadas, atendendo a 1.327 alunos. Até 2018, a UFBA tem como objetivo atingir 10% do total de créditos exigidos para a graduação no ensino superior no País em ações extensionistas (VÉRAS; SOUZA, 2016).</w:t>
      </w:r>
    </w:p>
    <w:p w:rsidR="00705EEC" w:rsidRPr="00772E14" w:rsidRDefault="00705EEC" w:rsidP="00705EEC">
      <w:pPr>
        <w:spacing w:after="120" w:line="360" w:lineRule="auto"/>
        <w:jc w:val="both"/>
        <w:rPr>
          <w:sz w:val="24"/>
          <w:szCs w:val="24"/>
          <w:lang w:val="es-ES"/>
        </w:rPr>
      </w:pPr>
    </w:p>
    <w:p w:rsidR="00772E14" w:rsidRPr="00705EEC" w:rsidRDefault="005D408C" w:rsidP="00705EEC">
      <w:pPr>
        <w:spacing w:after="120" w:line="360" w:lineRule="auto"/>
        <w:jc w:val="both"/>
        <w:rPr>
          <w:sz w:val="24"/>
          <w:szCs w:val="24"/>
          <w:lang w:val="es-ES"/>
        </w:rPr>
      </w:pPr>
      <w:r w:rsidRPr="00EB4489">
        <w:rPr>
          <w:sz w:val="24"/>
          <w:szCs w:val="24"/>
          <w:lang w:val="pt-BR"/>
        </w:rPr>
        <w:t xml:space="preserve">Talvez a experiência mais expressiva de inserção de estudantes em atividades de extensão de forma curricular tenha sido a da Universidad de La Republica (UDELAR) no Uruguai. Esta inserção partiu do conceito de ‘formação integral’, que pressupõe que a extensão e a investigação devem ser parte da metodologia de ensino universitário, com um contato direto com a realidade social (UDELAR, 2010). A metodologia de inserção de estudantes na extensão universitária se dá em diferentes etapas (Tabela </w:t>
      </w:r>
      <w:r>
        <w:rPr>
          <w:sz w:val="24"/>
          <w:szCs w:val="24"/>
          <w:lang w:val="pt-BR"/>
        </w:rPr>
        <w:t>4</w:t>
      </w:r>
      <w:r w:rsidRPr="00EB4489">
        <w:rPr>
          <w:sz w:val="24"/>
          <w:szCs w:val="24"/>
          <w:lang w:val="pt-BR"/>
        </w:rPr>
        <w:t>), cada uma com seus objetivos. A formação integral se dá através da participação de estudantes em projetos, que se denominam ‘Espacios de Formación Integral’. A partir do estabelecimento do conceito de ‘Espacios de Formación Integral’, a UDELAR contabilizou em 2010 o envolvimento de 10.000 estudantes e 600 docentes reunidos em torno</w:t>
      </w:r>
      <w:r w:rsidRPr="00744A36">
        <w:rPr>
          <w:sz w:val="24"/>
          <w:szCs w:val="24"/>
          <w:lang w:val="pt-BR"/>
        </w:rPr>
        <w:t xml:space="preserve"> de 90 propostas de extensão (TOMMASINO, 2011).</w:t>
      </w:r>
    </w:p>
    <w:p w:rsidR="008D1BE2" w:rsidRDefault="008D1BE2" w:rsidP="005F3368">
      <w:pPr>
        <w:spacing w:after="120" w:line="360" w:lineRule="auto"/>
        <w:jc w:val="both"/>
        <w:rPr>
          <w:sz w:val="24"/>
          <w:szCs w:val="24"/>
          <w:lang w:val="pt-BR"/>
        </w:rPr>
      </w:pPr>
    </w:p>
    <w:p w:rsidR="005D408C" w:rsidRPr="00744A36" w:rsidRDefault="005D408C" w:rsidP="005D408C">
      <w:pPr>
        <w:spacing w:line="360" w:lineRule="auto"/>
        <w:jc w:val="both"/>
        <w:rPr>
          <w:sz w:val="24"/>
          <w:szCs w:val="24"/>
          <w:lang w:val="pt-BR"/>
        </w:rPr>
      </w:pPr>
      <w:r w:rsidRPr="00744A36">
        <w:rPr>
          <w:b/>
          <w:sz w:val="24"/>
          <w:szCs w:val="24"/>
          <w:lang w:val="pt-BR"/>
        </w:rPr>
        <w:t xml:space="preserve">Tabela </w:t>
      </w:r>
      <w:r>
        <w:rPr>
          <w:b/>
          <w:sz w:val="24"/>
          <w:szCs w:val="24"/>
          <w:lang w:val="pt-BR"/>
        </w:rPr>
        <w:t>4</w:t>
      </w:r>
      <w:r w:rsidRPr="00744A36">
        <w:rPr>
          <w:sz w:val="24"/>
          <w:szCs w:val="24"/>
          <w:lang w:val="pt-BR"/>
        </w:rPr>
        <w:t>. Etapas de inserção curricular (‘Espacios de Formación Integral’) da extensão para estudantes da Universidad de La Republi</w:t>
      </w:r>
      <w:r>
        <w:rPr>
          <w:sz w:val="24"/>
          <w:szCs w:val="24"/>
          <w:lang w:val="pt-BR"/>
        </w:rPr>
        <w:t>ca (UDELAR), Montevidéu, Uruguai</w:t>
      </w:r>
      <w:r w:rsidRPr="00744A36">
        <w:rPr>
          <w:sz w:val="24"/>
          <w:szCs w:val="24"/>
          <w:lang w:val="pt-BR"/>
        </w:rPr>
        <w:t xml:space="preserve">. </w:t>
      </w:r>
    </w:p>
    <w:tbl>
      <w:tblPr>
        <w:tblW w:w="8788" w:type="dxa"/>
        <w:tblLayout w:type="fixed"/>
        <w:tblCellMar>
          <w:left w:w="0" w:type="dxa"/>
          <w:right w:w="0" w:type="dxa"/>
        </w:tblCellMar>
        <w:tblLook w:val="04A0"/>
      </w:tblPr>
      <w:tblGrid>
        <w:gridCol w:w="1928"/>
        <w:gridCol w:w="1871"/>
        <w:gridCol w:w="2665"/>
        <w:gridCol w:w="2324"/>
      </w:tblGrid>
      <w:tr w:rsidR="005D408C" w:rsidRPr="00AF78FA" w:rsidTr="00997EB6">
        <w:trPr>
          <w:trHeight w:val="584"/>
        </w:trPr>
        <w:tc>
          <w:tcPr>
            <w:tcW w:w="1928" w:type="dxa"/>
            <w:tcBorders>
              <w:top w:val="single" w:sz="8" w:space="0" w:color="auto"/>
              <w:left w:val="single" w:sz="8" w:space="0" w:color="FFFFFF"/>
              <w:bottom w:val="single" w:sz="4" w:space="0" w:color="auto"/>
              <w:right w:val="single" w:sz="8" w:space="0" w:color="FFFFFF"/>
            </w:tcBorders>
            <w:shd w:val="clear" w:color="auto" w:fill="8DB3E2" w:themeFill="text2" w:themeFillTint="66"/>
            <w:tcMar>
              <w:top w:w="72" w:type="dxa"/>
              <w:left w:w="144" w:type="dxa"/>
              <w:bottom w:w="72" w:type="dxa"/>
              <w:right w:w="144" w:type="dxa"/>
            </w:tcMar>
            <w:hideMark/>
          </w:tcPr>
          <w:p w:rsidR="005D408C" w:rsidRPr="00744A36" w:rsidRDefault="005D408C" w:rsidP="00B735ED">
            <w:pPr>
              <w:spacing w:after="0" w:line="240" w:lineRule="auto"/>
              <w:rPr>
                <w:rFonts w:eastAsia="Times New Roman" w:cs="Arial"/>
                <w:lang w:val="pt-BR" w:eastAsia="pt-BR"/>
              </w:rPr>
            </w:pPr>
            <w:r w:rsidRPr="00744A36">
              <w:rPr>
                <w:rFonts w:eastAsia="Times New Roman" w:cs="Arial"/>
                <w:b/>
                <w:bCs/>
                <w:kern w:val="24"/>
                <w:lang w:val="pt-BR" w:eastAsia="pt-BR"/>
              </w:rPr>
              <w:t xml:space="preserve">Etapa </w:t>
            </w:r>
          </w:p>
        </w:tc>
        <w:tc>
          <w:tcPr>
            <w:tcW w:w="1871" w:type="dxa"/>
            <w:tcBorders>
              <w:top w:val="single" w:sz="8" w:space="0" w:color="auto"/>
              <w:left w:val="single" w:sz="8" w:space="0" w:color="FFFFFF"/>
              <w:bottom w:val="single" w:sz="4" w:space="0" w:color="auto"/>
              <w:right w:val="single" w:sz="8" w:space="0" w:color="FFFFFF"/>
            </w:tcBorders>
            <w:shd w:val="clear" w:color="auto" w:fill="8DB3E2" w:themeFill="text2" w:themeFillTint="66"/>
            <w:tcMar>
              <w:top w:w="72" w:type="dxa"/>
              <w:left w:w="144" w:type="dxa"/>
              <w:bottom w:w="72" w:type="dxa"/>
              <w:right w:w="144" w:type="dxa"/>
            </w:tcMar>
            <w:hideMark/>
          </w:tcPr>
          <w:p w:rsidR="005D408C" w:rsidRPr="00744A36" w:rsidRDefault="005D408C" w:rsidP="00B735ED">
            <w:pPr>
              <w:spacing w:after="0" w:line="240" w:lineRule="auto"/>
              <w:rPr>
                <w:rFonts w:eastAsia="Times New Roman" w:cs="Arial"/>
                <w:lang w:val="pt-BR" w:eastAsia="pt-BR"/>
              </w:rPr>
            </w:pPr>
            <w:r w:rsidRPr="00744A36">
              <w:rPr>
                <w:rFonts w:eastAsia="Times New Roman" w:cs="Arial"/>
                <w:b/>
                <w:bCs/>
                <w:kern w:val="24"/>
                <w:lang w:val="pt-BR" w:eastAsia="pt-BR"/>
              </w:rPr>
              <w:t xml:space="preserve">Processos </w:t>
            </w:r>
          </w:p>
        </w:tc>
        <w:tc>
          <w:tcPr>
            <w:tcW w:w="2665" w:type="dxa"/>
            <w:tcBorders>
              <w:top w:val="single" w:sz="8" w:space="0" w:color="auto"/>
              <w:left w:val="single" w:sz="8" w:space="0" w:color="FFFFFF"/>
              <w:bottom w:val="single" w:sz="4" w:space="0" w:color="auto"/>
              <w:right w:val="single" w:sz="8" w:space="0" w:color="FFFFFF"/>
            </w:tcBorders>
            <w:shd w:val="clear" w:color="auto" w:fill="8DB3E2" w:themeFill="text2" w:themeFillTint="66"/>
            <w:tcMar>
              <w:top w:w="72" w:type="dxa"/>
              <w:left w:w="144" w:type="dxa"/>
              <w:bottom w:w="72" w:type="dxa"/>
              <w:right w:w="144" w:type="dxa"/>
            </w:tcMar>
            <w:hideMark/>
          </w:tcPr>
          <w:p w:rsidR="005D408C" w:rsidRPr="00744A36" w:rsidRDefault="005D408C" w:rsidP="00B735ED">
            <w:pPr>
              <w:spacing w:after="0" w:line="240" w:lineRule="auto"/>
              <w:rPr>
                <w:rFonts w:eastAsia="Times New Roman" w:cs="Arial"/>
                <w:lang w:val="pt-BR" w:eastAsia="pt-BR"/>
              </w:rPr>
            </w:pPr>
            <w:r w:rsidRPr="00744A36">
              <w:rPr>
                <w:rFonts w:eastAsia="Times New Roman" w:cs="Arial"/>
                <w:b/>
                <w:bCs/>
                <w:kern w:val="24"/>
                <w:lang w:val="pt-BR" w:eastAsia="pt-BR"/>
              </w:rPr>
              <w:t xml:space="preserve">Conteúdos </w:t>
            </w:r>
          </w:p>
        </w:tc>
        <w:tc>
          <w:tcPr>
            <w:tcW w:w="2324" w:type="dxa"/>
            <w:tcBorders>
              <w:top w:val="single" w:sz="8" w:space="0" w:color="auto"/>
              <w:left w:val="single" w:sz="8" w:space="0" w:color="FFFFFF"/>
              <w:bottom w:val="single" w:sz="4" w:space="0" w:color="auto"/>
              <w:right w:val="single" w:sz="8" w:space="0" w:color="FFFFFF"/>
            </w:tcBorders>
            <w:shd w:val="clear" w:color="auto" w:fill="8DB3E2" w:themeFill="text2" w:themeFillTint="66"/>
            <w:tcMar>
              <w:top w:w="72" w:type="dxa"/>
              <w:left w:w="144" w:type="dxa"/>
              <w:bottom w:w="72" w:type="dxa"/>
              <w:right w:w="144" w:type="dxa"/>
            </w:tcMar>
            <w:hideMark/>
          </w:tcPr>
          <w:p w:rsidR="005D408C" w:rsidRPr="00744A36" w:rsidRDefault="005D408C" w:rsidP="00B735ED">
            <w:pPr>
              <w:spacing w:after="0" w:line="240" w:lineRule="auto"/>
              <w:jc w:val="right"/>
              <w:rPr>
                <w:rFonts w:eastAsia="Times New Roman" w:cs="Arial"/>
                <w:lang w:val="pt-BR" w:eastAsia="pt-BR"/>
              </w:rPr>
            </w:pPr>
            <w:r w:rsidRPr="00744A36">
              <w:rPr>
                <w:rFonts w:eastAsia="Times New Roman" w:cs="Arial"/>
                <w:b/>
                <w:bCs/>
                <w:kern w:val="24"/>
                <w:lang w:val="pt-BR" w:eastAsia="pt-BR"/>
              </w:rPr>
              <w:t xml:space="preserve">Resultados esperados </w:t>
            </w:r>
          </w:p>
        </w:tc>
      </w:tr>
      <w:tr w:rsidR="005D408C" w:rsidRPr="00AF78FA" w:rsidTr="00997EB6">
        <w:trPr>
          <w:trHeight w:val="584"/>
        </w:trPr>
        <w:tc>
          <w:tcPr>
            <w:tcW w:w="1928" w:type="dxa"/>
            <w:tcBorders>
              <w:top w:val="single" w:sz="4" w:space="0" w:color="auto"/>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 xml:space="preserve">Formação Integral I </w:t>
            </w:r>
          </w:p>
        </w:tc>
        <w:tc>
          <w:tcPr>
            <w:tcW w:w="1871" w:type="dxa"/>
            <w:tcBorders>
              <w:top w:val="single" w:sz="4" w:space="0" w:color="auto"/>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408C" w:rsidRPr="00AF78FA" w:rsidRDefault="005D408C" w:rsidP="00B735ED">
            <w:pPr>
              <w:spacing w:after="120" w:line="240" w:lineRule="auto"/>
              <w:rPr>
                <w:rFonts w:eastAsia="Times New Roman" w:cs="Arial"/>
                <w:lang w:val="pt-BR" w:eastAsia="pt-BR"/>
              </w:rPr>
            </w:pPr>
            <w:r w:rsidRPr="00AF78FA">
              <w:rPr>
                <w:rFonts w:eastAsia="Times New Roman" w:cs="Arial"/>
                <w:color w:val="000000"/>
                <w:kern w:val="24"/>
                <w:lang w:val="pt-BR" w:eastAsia="pt-BR"/>
              </w:rPr>
              <w:t>Sensibilização</w:t>
            </w:r>
          </w:p>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 xml:space="preserve">Vínculo com o ciclo Introdutório </w:t>
            </w:r>
          </w:p>
        </w:tc>
        <w:tc>
          <w:tcPr>
            <w:tcW w:w="2665" w:type="dxa"/>
            <w:tcBorders>
              <w:top w:val="single" w:sz="4" w:space="0" w:color="auto"/>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408C" w:rsidRPr="00AF78FA" w:rsidRDefault="005D408C" w:rsidP="00B735ED">
            <w:pPr>
              <w:spacing w:after="120" w:line="240" w:lineRule="auto"/>
              <w:rPr>
                <w:rFonts w:eastAsia="Times New Roman" w:cs="Arial"/>
                <w:lang w:val="pt-BR" w:eastAsia="pt-BR"/>
              </w:rPr>
            </w:pPr>
            <w:r>
              <w:rPr>
                <w:rFonts w:eastAsia="Times New Roman" w:cs="Arial"/>
                <w:color w:val="000000"/>
                <w:kern w:val="24"/>
                <w:lang w:val="pt-BR" w:eastAsia="pt-BR"/>
              </w:rPr>
              <w:t xml:space="preserve"> </w:t>
            </w:r>
            <w:r w:rsidRPr="00AF78FA">
              <w:rPr>
                <w:rFonts w:eastAsia="Times New Roman" w:cs="Arial"/>
                <w:color w:val="000000"/>
                <w:kern w:val="24"/>
                <w:lang w:val="pt-BR" w:eastAsia="pt-BR"/>
              </w:rPr>
              <w:t>Primeiras aproximações com o território, projetos e atividades profissionais</w:t>
            </w:r>
          </w:p>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 xml:space="preserve">Descentralizado da sala de aula </w:t>
            </w:r>
          </w:p>
        </w:tc>
        <w:tc>
          <w:tcPr>
            <w:tcW w:w="2324" w:type="dxa"/>
            <w:tcBorders>
              <w:top w:val="single" w:sz="4" w:space="0" w:color="auto"/>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408C" w:rsidRPr="00AF78FA" w:rsidRDefault="005D408C" w:rsidP="00B735ED">
            <w:pPr>
              <w:spacing w:after="120" w:line="240" w:lineRule="auto"/>
              <w:jc w:val="right"/>
              <w:rPr>
                <w:rFonts w:eastAsia="Times New Roman" w:cs="Arial"/>
                <w:lang w:val="pt-BR" w:eastAsia="pt-BR"/>
              </w:rPr>
            </w:pPr>
            <w:r w:rsidRPr="00AF78FA">
              <w:rPr>
                <w:rFonts w:eastAsia="Times New Roman" w:cs="Arial"/>
                <w:color w:val="000000"/>
                <w:kern w:val="24"/>
                <w:lang w:val="pt-BR" w:eastAsia="pt-BR"/>
              </w:rPr>
              <w:t>Aprendizagem além da sala de aula;</w:t>
            </w:r>
          </w:p>
          <w:p w:rsidR="005D408C" w:rsidRPr="00AF78FA" w:rsidRDefault="005D408C" w:rsidP="00B735ED">
            <w:pPr>
              <w:spacing w:after="0" w:line="240" w:lineRule="auto"/>
              <w:jc w:val="right"/>
              <w:rPr>
                <w:rFonts w:eastAsia="Times New Roman" w:cs="Arial"/>
                <w:lang w:val="pt-BR" w:eastAsia="pt-BR"/>
              </w:rPr>
            </w:pPr>
            <w:r w:rsidRPr="00AF78FA">
              <w:rPr>
                <w:rFonts w:eastAsia="Times New Roman" w:cs="Arial"/>
                <w:color w:val="000000"/>
                <w:kern w:val="24"/>
                <w:lang w:val="pt-BR" w:eastAsia="pt-BR"/>
              </w:rPr>
              <w:t>Contato inicial com a Integralidade</w:t>
            </w:r>
          </w:p>
          <w:p w:rsidR="005D408C" w:rsidRPr="00AF78FA" w:rsidRDefault="005D408C" w:rsidP="00B735ED">
            <w:pPr>
              <w:spacing w:after="0" w:line="240" w:lineRule="auto"/>
              <w:jc w:val="right"/>
              <w:rPr>
                <w:rFonts w:eastAsia="Times New Roman" w:cs="Arial"/>
                <w:lang w:val="pt-BR" w:eastAsia="pt-BR"/>
              </w:rPr>
            </w:pPr>
            <w:r w:rsidRPr="00AF78FA">
              <w:rPr>
                <w:rFonts w:eastAsia="Times New Roman" w:cs="Arial"/>
                <w:color w:val="000000"/>
                <w:kern w:val="24"/>
                <w:lang w:val="pt-BR" w:eastAsia="pt-BR"/>
              </w:rPr>
              <w:t xml:space="preserve">Trabalho com a comunidade </w:t>
            </w:r>
          </w:p>
        </w:tc>
      </w:tr>
      <w:tr w:rsidR="005D408C" w:rsidRPr="00AF78FA" w:rsidTr="00B735ED">
        <w:trPr>
          <w:trHeight w:val="584"/>
        </w:trPr>
        <w:tc>
          <w:tcPr>
            <w:tcW w:w="192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Formação Integral II</w:t>
            </w:r>
          </w:p>
        </w:tc>
        <w:tc>
          <w:tcPr>
            <w:tcW w:w="187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D408C" w:rsidRDefault="005D408C" w:rsidP="00B735ED">
            <w:pPr>
              <w:spacing w:after="0" w:line="240" w:lineRule="auto"/>
              <w:rPr>
                <w:rFonts w:eastAsia="Times New Roman" w:cs="Arial"/>
                <w:color w:val="000000"/>
                <w:kern w:val="24"/>
                <w:lang w:val="pt-BR" w:eastAsia="pt-BR"/>
              </w:rPr>
            </w:pPr>
            <w:r w:rsidRPr="00AF78FA">
              <w:rPr>
                <w:rFonts w:eastAsia="Times New Roman" w:cs="Arial"/>
                <w:color w:val="000000"/>
                <w:kern w:val="24"/>
                <w:lang w:val="pt-BR" w:eastAsia="pt-BR"/>
              </w:rPr>
              <w:t xml:space="preserve">Aprofundamento </w:t>
            </w:r>
          </w:p>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 xml:space="preserve">(2° ano) </w:t>
            </w:r>
          </w:p>
        </w:tc>
        <w:tc>
          <w:tcPr>
            <w:tcW w:w="266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 xml:space="preserve"> Inserção na comunidade</w:t>
            </w:r>
          </w:p>
        </w:tc>
        <w:tc>
          <w:tcPr>
            <w:tcW w:w="2324" w:type="dxa"/>
            <w:vMerge w:val="restar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5D408C" w:rsidRPr="00AF78FA" w:rsidRDefault="005D408C" w:rsidP="00B735ED">
            <w:pPr>
              <w:spacing w:after="0" w:line="240" w:lineRule="auto"/>
              <w:jc w:val="right"/>
              <w:rPr>
                <w:rFonts w:eastAsia="Times New Roman" w:cs="Arial"/>
                <w:lang w:val="pt-BR" w:eastAsia="pt-BR"/>
              </w:rPr>
            </w:pPr>
            <w:r w:rsidRPr="00AF78FA">
              <w:rPr>
                <w:rFonts w:eastAsia="Times New Roman" w:cs="Arial"/>
                <w:color w:val="000000"/>
                <w:kern w:val="24"/>
                <w:lang w:val="pt-BR" w:eastAsia="pt-BR"/>
              </w:rPr>
              <w:t>Formação Integral Interdisciplinar</w:t>
            </w:r>
          </w:p>
          <w:p w:rsidR="005D408C" w:rsidRPr="00AF78FA" w:rsidRDefault="005D408C" w:rsidP="00B735ED">
            <w:pPr>
              <w:spacing w:after="0" w:line="240" w:lineRule="auto"/>
              <w:jc w:val="right"/>
              <w:rPr>
                <w:rFonts w:eastAsia="Times New Roman" w:cs="Arial"/>
                <w:lang w:val="pt-BR" w:eastAsia="pt-BR"/>
              </w:rPr>
            </w:pPr>
            <w:r w:rsidRPr="00AF78FA">
              <w:rPr>
                <w:rFonts w:eastAsia="Times New Roman" w:cs="Arial"/>
                <w:color w:val="000000"/>
                <w:kern w:val="24"/>
                <w:lang w:val="pt-BR" w:eastAsia="pt-BR"/>
              </w:rPr>
              <w:lastRenderedPageBreak/>
              <w:t xml:space="preserve">Inclusão de horas ao currículo </w:t>
            </w:r>
          </w:p>
        </w:tc>
      </w:tr>
      <w:tr w:rsidR="005D408C" w:rsidRPr="00AF78FA" w:rsidTr="00B735ED">
        <w:trPr>
          <w:trHeight w:val="584"/>
        </w:trPr>
        <w:tc>
          <w:tcPr>
            <w:tcW w:w="192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lastRenderedPageBreak/>
              <w:t>Formação Integral III</w:t>
            </w:r>
          </w:p>
        </w:tc>
        <w:tc>
          <w:tcPr>
            <w:tcW w:w="187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 xml:space="preserve">3° ano </w:t>
            </w:r>
          </w:p>
        </w:tc>
        <w:tc>
          <w:tcPr>
            <w:tcW w:w="266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 xml:space="preserve">Ensino por problemas, discussão de conteúdos teóricos, iniciação científica </w:t>
            </w:r>
          </w:p>
        </w:tc>
        <w:tc>
          <w:tcPr>
            <w:tcW w:w="2324" w:type="dxa"/>
            <w:vMerge/>
            <w:tcBorders>
              <w:top w:val="single" w:sz="8" w:space="0" w:color="FFFFFF"/>
              <w:left w:val="single" w:sz="8" w:space="0" w:color="FFFFFF"/>
              <w:bottom w:val="single" w:sz="8" w:space="0" w:color="FFFFFF"/>
              <w:right w:val="single" w:sz="8" w:space="0" w:color="FFFFFF"/>
            </w:tcBorders>
            <w:vAlign w:val="center"/>
            <w:hideMark/>
          </w:tcPr>
          <w:p w:rsidR="005D408C" w:rsidRPr="00AF78FA" w:rsidRDefault="005D408C" w:rsidP="00B735ED">
            <w:pPr>
              <w:spacing w:after="0" w:line="240" w:lineRule="auto"/>
              <w:jc w:val="right"/>
              <w:rPr>
                <w:rFonts w:eastAsia="Times New Roman" w:cs="Arial"/>
                <w:lang w:val="pt-BR" w:eastAsia="pt-BR"/>
              </w:rPr>
            </w:pPr>
          </w:p>
        </w:tc>
      </w:tr>
      <w:tr w:rsidR="005D408C" w:rsidRPr="00AF78FA" w:rsidTr="00997EB6">
        <w:trPr>
          <w:trHeight w:val="584"/>
        </w:trPr>
        <w:tc>
          <w:tcPr>
            <w:tcW w:w="1928" w:type="dxa"/>
            <w:tcBorders>
              <w:top w:val="single" w:sz="8" w:space="0" w:color="FFFFFF"/>
              <w:left w:val="single" w:sz="8" w:space="0" w:color="FFFFFF"/>
              <w:bottom w:val="single" w:sz="4" w:space="0" w:color="auto"/>
              <w:right w:val="single" w:sz="8" w:space="0" w:color="FFFFFF"/>
            </w:tcBorders>
            <w:shd w:val="clear" w:color="auto" w:fill="E9EDF4"/>
            <w:tcMar>
              <w:top w:w="72" w:type="dxa"/>
              <w:left w:w="144" w:type="dxa"/>
              <w:bottom w:w="72" w:type="dxa"/>
              <w:right w:w="144" w:type="dxa"/>
            </w:tcMar>
            <w:hideMark/>
          </w:tcPr>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lastRenderedPageBreak/>
              <w:t>Formação</w:t>
            </w:r>
          </w:p>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 xml:space="preserve">Integral  IV </w:t>
            </w:r>
          </w:p>
        </w:tc>
        <w:tc>
          <w:tcPr>
            <w:tcW w:w="1871" w:type="dxa"/>
            <w:tcBorders>
              <w:top w:val="single" w:sz="8" w:space="0" w:color="FFFFFF"/>
              <w:left w:val="single" w:sz="8" w:space="0" w:color="FFFFFF"/>
              <w:bottom w:val="single" w:sz="4" w:space="0" w:color="auto"/>
              <w:right w:val="single" w:sz="8" w:space="0" w:color="FFFFFF"/>
            </w:tcBorders>
            <w:shd w:val="clear" w:color="auto" w:fill="E9EDF4"/>
            <w:tcMar>
              <w:top w:w="72" w:type="dxa"/>
              <w:left w:w="144" w:type="dxa"/>
              <w:bottom w:w="72" w:type="dxa"/>
              <w:right w:w="144" w:type="dxa"/>
            </w:tcMar>
            <w:hideMark/>
          </w:tcPr>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 xml:space="preserve">4° ano </w:t>
            </w:r>
          </w:p>
        </w:tc>
        <w:tc>
          <w:tcPr>
            <w:tcW w:w="2665" w:type="dxa"/>
            <w:tcBorders>
              <w:top w:val="single" w:sz="8" w:space="0" w:color="FFFFFF"/>
              <w:left w:val="single" w:sz="8" w:space="0" w:color="FFFFFF"/>
              <w:bottom w:val="single" w:sz="4" w:space="0" w:color="auto"/>
              <w:right w:val="single" w:sz="8" w:space="0" w:color="FFFFFF"/>
            </w:tcBorders>
            <w:shd w:val="clear" w:color="auto" w:fill="E9EDF4"/>
            <w:tcMar>
              <w:top w:w="72" w:type="dxa"/>
              <w:left w:w="144" w:type="dxa"/>
              <w:bottom w:w="72" w:type="dxa"/>
              <w:right w:w="144" w:type="dxa"/>
            </w:tcMar>
            <w:hideMark/>
          </w:tcPr>
          <w:p w:rsidR="005D408C" w:rsidRPr="00AF78FA" w:rsidRDefault="005D408C" w:rsidP="00B735ED">
            <w:pPr>
              <w:spacing w:after="0" w:line="240" w:lineRule="auto"/>
              <w:rPr>
                <w:rFonts w:eastAsia="Times New Roman" w:cs="Arial"/>
                <w:lang w:val="pt-BR" w:eastAsia="pt-BR"/>
              </w:rPr>
            </w:pPr>
            <w:r w:rsidRPr="00AF78FA">
              <w:rPr>
                <w:rFonts w:eastAsia="Times New Roman" w:cs="Arial"/>
                <w:color w:val="000000"/>
                <w:kern w:val="24"/>
                <w:lang w:val="pt-BR" w:eastAsia="pt-BR"/>
              </w:rPr>
              <w:t>Articulação entre cursos, sem</w:t>
            </w:r>
            <w:r>
              <w:rPr>
                <w:rFonts w:eastAsia="Times New Roman" w:cs="Arial"/>
                <w:color w:val="000000"/>
                <w:kern w:val="24"/>
                <w:lang w:val="pt-BR" w:eastAsia="pt-BR"/>
              </w:rPr>
              <w:t>inários e oficinas, práticas pré</w:t>
            </w:r>
            <w:r w:rsidRPr="00AF78FA">
              <w:rPr>
                <w:rFonts w:eastAsia="Times New Roman" w:cs="Arial"/>
                <w:color w:val="000000"/>
                <w:kern w:val="24"/>
                <w:lang w:val="pt-BR" w:eastAsia="pt-BR"/>
              </w:rPr>
              <w:t xml:space="preserve">-profissionais </w:t>
            </w:r>
          </w:p>
        </w:tc>
        <w:tc>
          <w:tcPr>
            <w:tcW w:w="2324" w:type="dxa"/>
            <w:vMerge/>
            <w:tcBorders>
              <w:top w:val="single" w:sz="8" w:space="0" w:color="FFFFFF"/>
              <w:left w:val="single" w:sz="8" w:space="0" w:color="FFFFFF"/>
              <w:bottom w:val="single" w:sz="4" w:space="0" w:color="auto"/>
              <w:right w:val="single" w:sz="8" w:space="0" w:color="FFFFFF"/>
            </w:tcBorders>
            <w:vAlign w:val="center"/>
            <w:hideMark/>
          </w:tcPr>
          <w:p w:rsidR="005D408C" w:rsidRPr="00AF78FA" w:rsidRDefault="005D408C" w:rsidP="00B735ED">
            <w:pPr>
              <w:spacing w:after="0" w:line="240" w:lineRule="auto"/>
              <w:jc w:val="right"/>
              <w:rPr>
                <w:rFonts w:eastAsia="Times New Roman" w:cs="Arial"/>
                <w:lang w:val="pt-BR" w:eastAsia="pt-BR"/>
              </w:rPr>
            </w:pPr>
          </w:p>
        </w:tc>
      </w:tr>
    </w:tbl>
    <w:p w:rsidR="005D408C" w:rsidRDefault="005D408C" w:rsidP="005D408C">
      <w:pPr>
        <w:spacing w:before="120" w:after="120"/>
        <w:ind w:left="4956"/>
        <w:jc w:val="right"/>
        <w:rPr>
          <w:lang w:val="pt-BR"/>
        </w:rPr>
      </w:pPr>
      <w:r>
        <w:rPr>
          <w:lang w:val="pt-BR"/>
        </w:rPr>
        <w:t xml:space="preserve">Fonte: adaptado de </w:t>
      </w:r>
      <w:r>
        <w:t>UDELAR (2010)</w:t>
      </w:r>
      <w:r w:rsidRPr="00DE3A78">
        <w:t>.</w:t>
      </w:r>
    </w:p>
    <w:p w:rsidR="005D408C" w:rsidRDefault="005D408C" w:rsidP="005F3368">
      <w:pPr>
        <w:spacing w:line="360" w:lineRule="auto"/>
        <w:jc w:val="both"/>
        <w:rPr>
          <w:sz w:val="24"/>
          <w:szCs w:val="24"/>
          <w:lang w:val="es-ES"/>
        </w:rPr>
      </w:pPr>
    </w:p>
    <w:p w:rsidR="005D408C" w:rsidRDefault="005D408C" w:rsidP="005F3368">
      <w:pPr>
        <w:spacing w:line="360" w:lineRule="auto"/>
        <w:jc w:val="both"/>
        <w:rPr>
          <w:sz w:val="24"/>
          <w:szCs w:val="24"/>
          <w:lang w:val="es-ES"/>
        </w:rPr>
      </w:pPr>
    </w:p>
    <w:p w:rsidR="005D408C" w:rsidRDefault="005D408C" w:rsidP="005D408C">
      <w:pPr>
        <w:spacing w:line="360" w:lineRule="auto"/>
        <w:rPr>
          <w:sz w:val="24"/>
          <w:szCs w:val="24"/>
          <w:lang w:val="pt-BR"/>
        </w:rPr>
      </w:pPr>
      <w:r w:rsidRPr="00EB4489">
        <w:rPr>
          <w:sz w:val="24"/>
          <w:szCs w:val="24"/>
          <w:lang w:val="pt-BR"/>
        </w:rPr>
        <w:t>A avaliação do impacto desta experiência ainda está em andamento. Observa-se uma ampla aprovação entre os estudantes: mais de 60% deles desejam continuar a participar de experiências de extensão e mais de 80% recomendariam esta experiência a seus colegas (EnDiálogo, 2014).</w:t>
      </w:r>
    </w:p>
    <w:p w:rsidR="00402E9D" w:rsidRPr="00A80B62" w:rsidRDefault="005D408C" w:rsidP="005D408C">
      <w:pPr>
        <w:spacing w:line="360" w:lineRule="auto"/>
        <w:rPr>
          <w:sz w:val="24"/>
          <w:szCs w:val="24"/>
          <w:lang w:val="es-ES"/>
        </w:rPr>
      </w:pPr>
      <w:r w:rsidRPr="0095188C">
        <w:rPr>
          <w:sz w:val="24"/>
          <w:szCs w:val="24"/>
          <w:lang w:val="es-ES"/>
        </w:rPr>
        <w:t>En Argentina, sigue en curso la experiencia de la Universidad de Avellaneda (UNDAV),</w:t>
      </w:r>
      <w:r>
        <w:rPr>
          <w:sz w:val="24"/>
          <w:szCs w:val="24"/>
          <w:lang w:val="es-ES"/>
        </w:rPr>
        <w:t xml:space="preserve"> que presenta una inserción</w:t>
      </w:r>
      <w:r w:rsidRPr="0095188C">
        <w:rPr>
          <w:sz w:val="24"/>
          <w:szCs w:val="24"/>
          <w:lang w:val="es-ES"/>
        </w:rPr>
        <w:t xml:space="preserve"> d</w:t>
      </w:r>
      <w:r>
        <w:rPr>
          <w:sz w:val="24"/>
          <w:szCs w:val="24"/>
          <w:lang w:val="es-ES"/>
        </w:rPr>
        <w:t>e la extensi</w:t>
      </w:r>
      <w:r w:rsidRPr="0095188C">
        <w:rPr>
          <w:sz w:val="24"/>
          <w:szCs w:val="24"/>
          <w:lang w:val="es-ES"/>
        </w:rPr>
        <w:t>ó</w:t>
      </w:r>
      <w:r>
        <w:rPr>
          <w:sz w:val="24"/>
          <w:szCs w:val="24"/>
          <w:lang w:val="es-ES"/>
        </w:rPr>
        <w:t>n universitaria en</w:t>
      </w:r>
      <w:r w:rsidRPr="0095188C">
        <w:rPr>
          <w:sz w:val="24"/>
          <w:szCs w:val="24"/>
          <w:lang w:val="es-ES"/>
        </w:rPr>
        <w:t xml:space="preserve"> forma de ‘</w:t>
      </w:r>
      <w:r w:rsidRPr="0095188C">
        <w:rPr>
          <w:sz w:val="23"/>
          <w:szCs w:val="23"/>
          <w:lang w:val="es-ES"/>
        </w:rPr>
        <w:t>Trabajo Social Comunitario’</w:t>
      </w:r>
      <w:r w:rsidRPr="0095188C">
        <w:rPr>
          <w:sz w:val="24"/>
          <w:szCs w:val="24"/>
          <w:lang w:val="es-ES"/>
        </w:rPr>
        <w:t xml:space="preserve">, obligatorio y integrado a todas </w:t>
      </w:r>
      <w:r>
        <w:rPr>
          <w:sz w:val="24"/>
          <w:szCs w:val="24"/>
          <w:lang w:val="es-ES"/>
        </w:rPr>
        <w:t>l</w:t>
      </w:r>
      <w:r w:rsidRPr="0095188C">
        <w:rPr>
          <w:sz w:val="24"/>
          <w:szCs w:val="24"/>
          <w:lang w:val="es-ES"/>
        </w:rPr>
        <w:t xml:space="preserve">as </w:t>
      </w:r>
      <w:r>
        <w:rPr>
          <w:sz w:val="24"/>
          <w:szCs w:val="24"/>
          <w:lang w:val="es-ES"/>
        </w:rPr>
        <w:t>c</w:t>
      </w:r>
      <w:r w:rsidRPr="0095188C">
        <w:rPr>
          <w:sz w:val="24"/>
          <w:szCs w:val="24"/>
          <w:lang w:val="es-ES"/>
        </w:rPr>
        <w:t xml:space="preserve">arreras, </w:t>
      </w:r>
      <w:r>
        <w:rPr>
          <w:sz w:val="24"/>
          <w:szCs w:val="24"/>
          <w:lang w:val="es-ES"/>
        </w:rPr>
        <w:t>y que incluí cuatro a</w:t>
      </w:r>
      <w:r w:rsidRPr="0095188C">
        <w:rPr>
          <w:sz w:val="24"/>
          <w:szCs w:val="24"/>
          <w:lang w:val="es-ES"/>
        </w:rPr>
        <w:t>signaturas de 32 horas cada una.</w:t>
      </w:r>
      <w:r>
        <w:rPr>
          <w:sz w:val="24"/>
          <w:szCs w:val="24"/>
          <w:lang w:val="es-ES"/>
        </w:rPr>
        <w:t xml:space="preserve"> La primera tiene un contenido introductorio e las demás son articuladas con proyectos e programas desarrollados en cada faculta o unidad universitaria (</w:t>
      </w:r>
      <w:r w:rsidR="00E317C5">
        <w:rPr>
          <w:sz w:val="24"/>
          <w:szCs w:val="24"/>
          <w:lang w:val="es-ES"/>
        </w:rPr>
        <w:t>GIRAUDO;</w:t>
      </w:r>
      <w:r w:rsidR="00E317C5" w:rsidRPr="0095188C">
        <w:rPr>
          <w:sz w:val="24"/>
          <w:szCs w:val="24"/>
          <w:lang w:val="es-ES"/>
        </w:rPr>
        <w:t xml:space="preserve"> VERGERIO</w:t>
      </w:r>
      <w:r w:rsidRPr="0095188C">
        <w:rPr>
          <w:sz w:val="24"/>
          <w:szCs w:val="24"/>
          <w:lang w:val="es-ES"/>
        </w:rPr>
        <w:t>, 2016)</w:t>
      </w:r>
      <w:r>
        <w:rPr>
          <w:sz w:val="24"/>
          <w:szCs w:val="24"/>
          <w:lang w:val="es-ES"/>
        </w:rPr>
        <w:t>.</w:t>
      </w:r>
    </w:p>
    <w:p w:rsidR="005D408C" w:rsidRPr="00B56B54" w:rsidRDefault="005D408C" w:rsidP="005D408C">
      <w:pPr>
        <w:jc w:val="both"/>
        <w:rPr>
          <w:b/>
          <w:sz w:val="24"/>
          <w:szCs w:val="24"/>
          <w:lang w:val="pt-BR"/>
        </w:rPr>
      </w:pPr>
      <w:r w:rsidRPr="00B56B54">
        <w:rPr>
          <w:b/>
          <w:sz w:val="24"/>
          <w:szCs w:val="24"/>
          <w:lang w:val="pt-BR"/>
        </w:rPr>
        <w:t>Barreiras para a curricularização da extensão universitária</w:t>
      </w:r>
    </w:p>
    <w:p w:rsidR="005D408C" w:rsidRPr="00B56B54" w:rsidRDefault="005D408C" w:rsidP="005D408C">
      <w:pPr>
        <w:spacing w:line="360" w:lineRule="auto"/>
        <w:jc w:val="both"/>
        <w:rPr>
          <w:sz w:val="24"/>
          <w:szCs w:val="24"/>
          <w:lang w:val="pt-BR"/>
        </w:rPr>
      </w:pPr>
      <w:r w:rsidRPr="00B56B54">
        <w:rPr>
          <w:sz w:val="24"/>
          <w:szCs w:val="24"/>
          <w:lang w:val="pt-BR"/>
        </w:rPr>
        <w:t>Tendo em vista o reconhecimento do valor da aprendizagem experiencial através da extensão universitária e da aprendizagem em serviço para o desenvolvimento profissional e a cidadania, porque sua inserção curricular se restringe a poucas experiências isoladas nos países latino-americanos?</w:t>
      </w:r>
    </w:p>
    <w:p w:rsidR="005D408C" w:rsidRPr="00EB4489" w:rsidRDefault="005D408C" w:rsidP="005D408C">
      <w:pPr>
        <w:spacing w:line="360" w:lineRule="auto"/>
        <w:rPr>
          <w:sz w:val="24"/>
          <w:szCs w:val="24"/>
          <w:lang w:val="pt-BR"/>
        </w:rPr>
      </w:pPr>
      <w:r w:rsidRPr="00EB4489">
        <w:rPr>
          <w:sz w:val="24"/>
          <w:szCs w:val="24"/>
          <w:lang w:val="pt-BR"/>
        </w:rPr>
        <w:t>A inserção curricular da extensão tem também seus questionamentos. A extensão como tarefa docente adicional pode gerar sobrecarga. Além disso, pode envolver dificuldades à gestão universitária, na medida em que são atividades que geram demandas financeiras adicionais (IMPERATORE et al.</w:t>
      </w:r>
      <w:r w:rsidR="00E317C5">
        <w:rPr>
          <w:sz w:val="24"/>
          <w:szCs w:val="24"/>
          <w:lang w:val="pt-BR"/>
        </w:rPr>
        <w:t>,</w:t>
      </w:r>
      <w:r w:rsidRPr="00EB4489">
        <w:rPr>
          <w:sz w:val="24"/>
          <w:szCs w:val="24"/>
          <w:lang w:val="pt-BR"/>
        </w:rPr>
        <w:t xml:space="preserve"> 2015). Por outro lado, do ponto de vista pedagógico, a transformação em disciplinas pode condicionar a extensão aos </w:t>
      </w:r>
      <w:r w:rsidRPr="00EB4489">
        <w:rPr>
          <w:sz w:val="24"/>
          <w:szCs w:val="24"/>
          <w:lang w:val="pt-BR"/>
        </w:rPr>
        <w:lastRenderedPageBreak/>
        <w:t>ditames burocráticos e aos formalismos curriculares, retirando a autonomia e a criatividade dos projetos. A</w:t>
      </w:r>
      <w:r>
        <w:rPr>
          <w:sz w:val="24"/>
          <w:szCs w:val="24"/>
          <w:lang w:val="pt-BR"/>
        </w:rPr>
        <w:t>lém disso, a</w:t>
      </w:r>
      <w:r w:rsidRPr="00EB4489">
        <w:rPr>
          <w:sz w:val="24"/>
          <w:szCs w:val="24"/>
          <w:lang w:val="pt-BR"/>
        </w:rPr>
        <w:t xml:space="preserve"> extensão precisa ter flexibilidade para se ajustar às demandas e ao tempo das comunidades.</w:t>
      </w:r>
    </w:p>
    <w:p w:rsidR="005D408C" w:rsidRPr="00B56B54" w:rsidRDefault="005D408C" w:rsidP="005D408C">
      <w:pPr>
        <w:spacing w:after="120" w:line="360" w:lineRule="auto"/>
        <w:jc w:val="both"/>
        <w:rPr>
          <w:sz w:val="24"/>
          <w:szCs w:val="24"/>
          <w:lang w:val="pt-BR"/>
        </w:rPr>
      </w:pPr>
      <w:r w:rsidRPr="00B56B54">
        <w:rPr>
          <w:sz w:val="24"/>
          <w:szCs w:val="24"/>
          <w:lang w:val="pt-BR"/>
        </w:rPr>
        <w:t>As barreiras a esta incorporação ao fazer universitário e à formação acadêmica podem ser classificados em:</w:t>
      </w:r>
    </w:p>
    <w:p w:rsidR="005D408C" w:rsidRPr="00B56B54" w:rsidRDefault="005D408C" w:rsidP="005D408C">
      <w:pPr>
        <w:spacing w:after="120" w:line="360" w:lineRule="auto"/>
        <w:jc w:val="both"/>
        <w:rPr>
          <w:sz w:val="24"/>
          <w:szCs w:val="24"/>
          <w:lang w:val="pt-BR"/>
        </w:rPr>
      </w:pPr>
      <w:r w:rsidRPr="00B56B54">
        <w:rPr>
          <w:sz w:val="24"/>
          <w:szCs w:val="24"/>
          <w:lang w:val="pt-BR"/>
        </w:rPr>
        <w:t>Administrativas: o compromisso com o fornecimento de meios para a realização de atividades nas comunidades (transporte, alimentação, materiais de consumo) pode representar dispêndios adicionais para as universidades (IMPERATORE et al., 2015) que já encontram dificuldades para atender suas demandas.</w:t>
      </w:r>
    </w:p>
    <w:p w:rsidR="005D408C" w:rsidRPr="00B56B54" w:rsidRDefault="005D408C" w:rsidP="005D408C">
      <w:pPr>
        <w:spacing w:after="120" w:line="360" w:lineRule="auto"/>
        <w:jc w:val="both"/>
        <w:rPr>
          <w:sz w:val="24"/>
          <w:szCs w:val="24"/>
          <w:lang w:val="pt-BR"/>
        </w:rPr>
      </w:pPr>
      <w:r w:rsidRPr="00B56B54">
        <w:rPr>
          <w:sz w:val="24"/>
          <w:szCs w:val="24"/>
          <w:lang w:val="pt-BR"/>
        </w:rPr>
        <w:t xml:space="preserve">Culturais ou comportamentais: a extensão universitária não é vista como a atividade mais nobre do fazer acadêmico. Se o ensino é um encargo, a investigação científica é a atividade mais almejada. Os programas de pós-graduação </w:t>
      </w:r>
      <w:r w:rsidRPr="00B56B54">
        <w:rPr>
          <w:i/>
          <w:sz w:val="24"/>
          <w:szCs w:val="24"/>
          <w:lang w:val="pt-BR"/>
        </w:rPr>
        <w:t>stricto sensu</w:t>
      </w:r>
      <w:r w:rsidRPr="00B56B54">
        <w:rPr>
          <w:sz w:val="24"/>
          <w:szCs w:val="24"/>
          <w:lang w:val="pt-BR"/>
        </w:rPr>
        <w:t xml:space="preserve"> preparam para os docentes quase que exclusivamente à pesquisa, atividade que usualmente valoriza mais os currículos. A retroalimentação promovida pela extensão universitária, enriquecendo as linhas de investigação e o próprio fazer pedagógico no ensino dificilmente é reconhecida pela grande maioria dos docentes. Muitas vezes, quem se envolve em atividades extensionistas são os docentes de menor titulação ou mais jovens (VILABOA, 2014). De outra parte, envolver-se em extensão pode parecer mais um encargo ao professor, que muitas vezes já se sente sobrecarregado.</w:t>
      </w:r>
    </w:p>
    <w:p w:rsidR="001122DF" w:rsidRDefault="001122DF" w:rsidP="00762C3C">
      <w:pPr>
        <w:spacing w:after="120" w:line="360" w:lineRule="auto"/>
        <w:jc w:val="both"/>
        <w:rPr>
          <w:sz w:val="24"/>
          <w:szCs w:val="24"/>
          <w:lang w:val="es-ES"/>
        </w:rPr>
      </w:pPr>
    </w:p>
    <w:p w:rsidR="005D408C" w:rsidRPr="00B56B54" w:rsidRDefault="005D408C" w:rsidP="005D408C">
      <w:pPr>
        <w:spacing w:after="120" w:line="360" w:lineRule="auto"/>
        <w:jc w:val="both"/>
        <w:rPr>
          <w:sz w:val="24"/>
          <w:szCs w:val="24"/>
          <w:lang w:val="pt-BR"/>
        </w:rPr>
      </w:pPr>
      <w:r w:rsidRPr="00B56B54">
        <w:rPr>
          <w:sz w:val="24"/>
          <w:szCs w:val="24"/>
          <w:lang w:val="pt-BR"/>
        </w:rPr>
        <w:t>Pedagógicas: os docentes são, em primeira instância, contratados para ‘dar aulas’. Isto se traduz majoritariamente por aulas expositivas (</w:t>
      </w:r>
      <w:r w:rsidRPr="00B56B54">
        <w:rPr>
          <w:i/>
          <w:sz w:val="24"/>
          <w:szCs w:val="24"/>
          <w:lang w:val="pt-BR"/>
        </w:rPr>
        <w:t>lectures</w:t>
      </w:r>
      <w:r w:rsidRPr="00B56B54">
        <w:rPr>
          <w:sz w:val="24"/>
          <w:szCs w:val="24"/>
          <w:lang w:val="pt-BR"/>
        </w:rPr>
        <w:t xml:space="preserve">, </w:t>
      </w:r>
      <w:r w:rsidRPr="00B56B54">
        <w:rPr>
          <w:i/>
          <w:sz w:val="24"/>
          <w:szCs w:val="24"/>
          <w:lang w:val="pt-BR"/>
        </w:rPr>
        <w:t>aulas magistrales</w:t>
      </w:r>
      <w:r w:rsidRPr="00B56B54">
        <w:rPr>
          <w:sz w:val="24"/>
          <w:szCs w:val="24"/>
          <w:lang w:val="pt-BR"/>
        </w:rPr>
        <w:t xml:space="preserve">). No lugar de ‘dar aulas’, a atividade docente deveria ser criar ou promover condições para que o aluno aprenda. Porém, é forte entre os docentes latino-americanos a crença de que o aluno só aprende se assistir às aulas (DEMO, 2001). O excesso de aulas e disciplinas concomitantes, além de gerar desgaste e estresse entre os estudantes </w:t>
      </w:r>
      <w:r w:rsidRPr="00B56B54">
        <w:rPr>
          <w:rFonts w:cs="Swift-Regular"/>
          <w:sz w:val="24"/>
          <w:szCs w:val="24"/>
          <w:lang w:val="pt-BR"/>
        </w:rPr>
        <w:t xml:space="preserve">(BONIFÁCIO et al., 2011, </w:t>
      </w:r>
      <w:r w:rsidRPr="00B56B54">
        <w:rPr>
          <w:rFonts w:cs="AdvOTb92eb7df.I"/>
          <w:sz w:val="24"/>
          <w:szCs w:val="24"/>
          <w:lang w:val="pt-BR"/>
        </w:rPr>
        <w:t>RUIZ-GALLARDO</w:t>
      </w:r>
      <w:r w:rsidRPr="00B56B54">
        <w:rPr>
          <w:rFonts w:cs="AdvOT863180fb"/>
          <w:sz w:val="24"/>
          <w:szCs w:val="24"/>
          <w:lang w:val="pt-BR"/>
        </w:rPr>
        <w:t xml:space="preserve"> </w:t>
      </w:r>
      <w:r w:rsidRPr="00B56B54">
        <w:rPr>
          <w:rFonts w:cs="AdvOTb92eb7df.I"/>
          <w:sz w:val="24"/>
          <w:szCs w:val="24"/>
          <w:lang w:val="pt-BR"/>
        </w:rPr>
        <w:t>et al., 2011)</w:t>
      </w:r>
      <w:r w:rsidRPr="00B56B54">
        <w:rPr>
          <w:sz w:val="24"/>
          <w:szCs w:val="24"/>
          <w:lang w:val="pt-BR"/>
        </w:rPr>
        <w:t>, promove um aprendizado superficial e memorístico, facilmente esquecido após o término da disciplina (BIGGS</w:t>
      </w:r>
      <w:r>
        <w:rPr>
          <w:sz w:val="24"/>
          <w:szCs w:val="24"/>
          <w:lang w:val="pt-BR"/>
        </w:rPr>
        <w:t>,</w:t>
      </w:r>
      <w:r w:rsidRPr="00B56B54">
        <w:rPr>
          <w:sz w:val="24"/>
          <w:szCs w:val="24"/>
          <w:lang w:val="pt-BR"/>
        </w:rPr>
        <w:t xml:space="preserve"> 2005, </w:t>
      </w:r>
      <w:r w:rsidRPr="00B56B54">
        <w:rPr>
          <w:rFonts w:cs="AdvOTb92eb7df.I"/>
          <w:sz w:val="24"/>
          <w:szCs w:val="24"/>
          <w:lang w:val="pt-BR"/>
        </w:rPr>
        <w:t xml:space="preserve">COPE; </w:t>
      </w:r>
      <w:r w:rsidRPr="00B56B54">
        <w:rPr>
          <w:rFonts w:cs="AdvOTb92eb7df.I"/>
          <w:sz w:val="24"/>
          <w:szCs w:val="24"/>
          <w:lang w:val="pt-BR"/>
        </w:rPr>
        <w:lastRenderedPageBreak/>
        <w:t xml:space="preserve">STAEHR, 2005, </w:t>
      </w:r>
      <w:r w:rsidRPr="00B56B54">
        <w:rPr>
          <w:rFonts w:cs="Arial"/>
          <w:sz w:val="24"/>
          <w:szCs w:val="24"/>
          <w:lang w:val="pt-BR"/>
        </w:rPr>
        <w:t>KARJALAINEN et al., 2006</w:t>
      </w:r>
      <w:r w:rsidRPr="00B56B54">
        <w:rPr>
          <w:sz w:val="24"/>
          <w:szCs w:val="24"/>
          <w:lang w:val="pt-BR"/>
        </w:rPr>
        <w:t>), além dificultar o envolvimento destes em atividades de pesquisa e extensão.</w:t>
      </w:r>
    </w:p>
    <w:p w:rsidR="005D408C" w:rsidRPr="00B56B54" w:rsidRDefault="005D408C" w:rsidP="005D408C">
      <w:pPr>
        <w:spacing w:after="120" w:line="360" w:lineRule="auto"/>
        <w:jc w:val="both"/>
        <w:rPr>
          <w:sz w:val="24"/>
          <w:szCs w:val="24"/>
          <w:lang w:val="pt-BR"/>
        </w:rPr>
      </w:pPr>
      <w:r>
        <w:rPr>
          <w:sz w:val="24"/>
          <w:szCs w:val="24"/>
          <w:lang w:val="pt-BR"/>
        </w:rPr>
        <w:t>É</w:t>
      </w:r>
      <w:r w:rsidRPr="00B56B54">
        <w:rPr>
          <w:sz w:val="24"/>
          <w:szCs w:val="24"/>
          <w:lang w:val="pt-BR"/>
        </w:rPr>
        <w:t xml:space="preserve"> preciso acrescentar que a inserção do ensino experiencial requer mudanças no currículo. Atividades de extensão são, com freqüência, multidisciplinares, portanto não são domínio exclusivo de uma área ou subárea do conhecimento. Por outro lado, a definição (e a competição) por vagas para docentes nas universidades está fortemente ligada a estas áreas e subáreas. Nesse sentido, o currículo se constitui em um território fortemente disputado. A criação de porções de território sem controle estrito das áreas gera apreensões entre os docentes.</w:t>
      </w:r>
    </w:p>
    <w:p w:rsidR="005D408C" w:rsidRPr="00B56B54" w:rsidRDefault="005D408C" w:rsidP="005D408C">
      <w:pPr>
        <w:spacing w:after="120" w:line="360" w:lineRule="auto"/>
        <w:jc w:val="both"/>
        <w:rPr>
          <w:sz w:val="24"/>
          <w:szCs w:val="24"/>
          <w:lang w:val="pt-BR"/>
        </w:rPr>
      </w:pPr>
      <w:r w:rsidRPr="00B56B54">
        <w:rPr>
          <w:sz w:val="24"/>
          <w:szCs w:val="24"/>
          <w:lang w:val="pt-BR"/>
        </w:rPr>
        <w:t xml:space="preserve">Para superar estas dificuldades, faz-se necessária uma mudança nos fundamentos do fazer universitário e nas metodologias de ensino-aprendizagem. Agregar o aprendizado através da atividade experiencial (com a extensão e a pesquisa) requer mudanças teóricas e práticas na docência, e </w:t>
      </w:r>
      <w:r>
        <w:rPr>
          <w:sz w:val="24"/>
          <w:szCs w:val="24"/>
          <w:lang w:val="pt-BR"/>
        </w:rPr>
        <w:t xml:space="preserve">também </w:t>
      </w:r>
      <w:r w:rsidRPr="00B56B54">
        <w:rPr>
          <w:sz w:val="24"/>
          <w:szCs w:val="24"/>
          <w:lang w:val="pt-BR"/>
        </w:rPr>
        <w:t>políticas institucionais</w:t>
      </w:r>
      <w:r>
        <w:rPr>
          <w:sz w:val="24"/>
          <w:szCs w:val="24"/>
          <w:lang w:val="pt-BR"/>
        </w:rPr>
        <w:t xml:space="preserve"> (como mostram as experiências citadas acima no Brasil, Uruguai e Argentina)</w:t>
      </w:r>
      <w:r w:rsidRPr="00B56B54">
        <w:rPr>
          <w:sz w:val="24"/>
          <w:szCs w:val="24"/>
          <w:lang w:val="pt-BR"/>
        </w:rPr>
        <w:t>. Tentativas individuais por parte de docentes e estudantes tem alcance muito restrito, v</w:t>
      </w:r>
      <w:r>
        <w:rPr>
          <w:sz w:val="24"/>
          <w:szCs w:val="24"/>
          <w:lang w:val="pt-BR"/>
        </w:rPr>
        <w:t>isto que não conseguem superar esta</w:t>
      </w:r>
      <w:r w:rsidRPr="00B56B54">
        <w:rPr>
          <w:sz w:val="24"/>
          <w:szCs w:val="24"/>
          <w:lang w:val="pt-BR"/>
        </w:rPr>
        <w:t>s barr</w:t>
      </w:r>
      <w:r>
        <w:rPr>
          <w:sz w:val="24"/>
          <w:szCs w:val="24"/>
          <w:lang w:val="pt-BR"/>
        </w:rPr>
        <w:t>eiras.</w:t>
      </w:r>
    </w:p>
    <w:p w:rsidR="005D408C" w:rsidRDefault="005D408C" w:rsidP="005D408C">
      <w:pPr>
        <w:rPr>
          <w:b/>
          <w:lang w:val="pt-BR"/>
        </w:rPr>
      </w:pPr>
    </w:p>
    <w:p w:rsidR="002606DF" w:rsidRDefault="002606DF" w:rsidP="005D408C">
      <w:pPr>
        <w:rPr>
          <w:b/>
          <w:sz w:val="24"/>
          <w:szCs w:val="24"/>
          <w:lang w:val="pt-BR"/>
        </w:rPr>
      </w:pPr>
    </w:p>
    <w:p w:rsidR="005D408C" w:rsidRPr="005D408C" w:rsidRDefault="005D408C" w:rsidP="005D408C">
      <w:pPr>
        <w:rPr>
          <w:b/>
          <w:sz w:val="24"/>
          <w:szCs w:val="24"/>
          <w:lang w:val="pt-BR"/>
        </w:rPr>
      </w:pPr>
      <w:r w:rsidRPr="005D408C">
        <w:rPr>
          <w:b/>
          <w:sz w:val="24"/>
          <w:szCs w:val="24"/>
          <w:lang w:val="pt-BR"/>
        </w:rPr>
        <w:t>Referências</w:t>
      </w:r>
    </w:p>
    <w:p w:rsidR="0030406E" w:rsidRPr="00314FF9" w:rsidRDefault="0030406E">
      <w:pPr>
        <w:rPr>
          <w:b/>
          <w:lang w:val="es-ES"/>
        </w:rPr>
      </w:pPr>
    </w:p>
    <w:p w:rsidR="008E3FFE" w:rsidRPr="002606DF" w:rsidRDefault="005D408C" w:rsidP="00296B8E">
      <w:pPr>
        <w:spacing w:after="120"/>
        <w:rPr>
          <w:rFonts w:cs="Arial"/>
          <w:color w:val="222222"/>
          <w:sz w:val="20"/>
          <w:szCs w:val="20"/>
        </w:rPr>
      </w:pPr>
      <w:r w:rsidRPr="002606DF">
        <w:rPr>
          <w:rFonts w:cs="Arial"/>
          <w:color w:val="222222"/>
          <w:sz w:val="20"/>
          <w:szCs w:val="20"/>
        </w:rPr>
        <w:t>ALBUQUERQUE, V. S.; GOMES, A. P.; REZENDE, C. D.; SAMPAIO, M. X.; DIAS, O. V.; LUGARINHO, R. M</w:t>
      </w:r>
      <w:r w:rsidR="008E3FFE" w:rsidRPr="002606DF">
        <w:rPr>
          <w:rFonts w:cs="Arial"/>
          <w:color w:val="222222"/>
          <w:sz w:val="20"/>
          <w:szCs w:val="20"/>
        </w:rPr>
        <w:t>. A integração ensino-serviço no contexto dos processos de mudança na formação superior dos profissionais da saúde.</w:t>
      </w:r>
      <w:r w:rsidR="008E3FFE" w:rsidRPr="002606DF">
        <w:rPr>
          <w:rStyle w:val="apple-converted-space"/>
          <w:rFonts w:cs="Arial"/>
          <w:color w:val="222222"/>
          <w:sz w:val="20"/>
          <w:szCs w:val="20"/>
        </w:rPr>
        <w:t> </w:t>
      </w:r>
      <w:r w:rsidR="008E3FFE" w:rsidRPr="002606DF">
        <w:rPr>
          <w:rFonts w:cs="Arial"/>
          <w:b/>
          <w:iCs/>
          <w:color w:val="222222"/>
          <w:sz w:val="20"/>
          <w:szCs w:val="20"/>
        </w:rPr>
        <w:t>Rev</w:t>
      </w:r>
      <w:r w:rsidRPr="002606DF">
        <w:rPr>
          <w:rFonts w:cs="Arial"/>
          <w:b/>
          <w:iCs/>
          <w:color w:val="222222"/>
          <w:sz w:val="20"/>
          <w:szCs w:val="20"/>
        </w:rPr>
        <w:t>ista B</w:t>
      </w:r>
      <w:r w:rsidR="008E3FFE" w:rsidRPr="002606DF">
        <w:rPr>
          <w:rFonts w:cs="Arial"/>
          <w:b/>
          <w:iCs/>
          <w:color w:val="222222"/>
          <w:sz w:val="20"/>
          <w:szCs w:val="20"/>
        </w:rPr>
        <w:t>ras</w:t>
      </w:r>
      <w:r w:rsidRPr="002606DF">
        <w:rPr>
          <w:rFonts w:cs="Arial"/>
          <w:b/>
          <w:iCs/>
          <w:color w:val="222222"/>
          <w:sz w:val="20"/>
          <w:szCs w:val="20"/>
        </w:rPr>
        <w:t>ileira de E</w:t>
      </w:r>
      <w:r w:rsidR="008E3FFE" w:rsidRPr="002606DF">
        <w:rPr>
          <w:rFonts w:cs="Arial"/>
          <w:b/>
          <w:iCs/>
          <w:color w:val="222222"/>
          <w:sz w:val="20"/>
          <w:szCs w:val="20"/>
        </w:rPr>
        <w:t>duc</w:t>
      </w:r>
      <w:r w:rsidRPr="002606DF">
        <w:rPr>
          <w:rFonts w:cs="Arial"/>
          <w:b/>
          <w:iCs/>
          <w:color w:val="222222"/>
          <w:sz w:val="20"/>
          <w:szCs w:val="20"/>
        </w:rPr>
        <w:t>ação Mé</w:t>
      </w:r>
      <w:r w:rsidR="008E3FFE" w:rsidRPr="002606DF">
        <w:rPr>
          <w:rFonts w:cs="Arial"/>
          <w:b/>
          <w:iCs/>
          <w:color w:val="222222"/>
          <w:sz w:val="20"/>
          <w:szCs w:val="20"/>
        </w:rPr>
        <w:t>d</w:t>
      </w:r>
      <w:r w:rsidRPr="002606DF">
        <w:rPr>
          <w:rFonts w:cs="Arial"/>
          <w:b/>
          <w:iCs/>
          <w:color w:val="222222"/>
          <w:sz w:val="20"/>
          <w:szCs w:val="20"/>
        </w:rPr>
        <w:t>ica,</w:t>
      </w:r>
      <w:r w:rsidRPr="002606DF">
        <w:rPr>
          <w:rFonts w:cs="Arial"/>
          <w:color w:val="222222"/>
          <w:sz w:val="20"/>
          <w:szCs w:val="20"/>
        </w:rPr>
        <w:t xml:space="preserve"> v.</w:t>
      </w:r>
      <w:r w:rsidR="008E3FFE" w:rsidRPr="002606DF">
        <w:rPr>
          <w:rStyle w:val="apple-converted-space"/>
          <w:rFonts w:cs="Arial"/>
          <w:color w:val="222222"/>
          <w:sz w:val="20"/>
          <w:szCs w:val="20"/>
        </w:rPr>
        <w:t> </w:t>
      </w:r>
      <w:r w:rsidR="008E3FFE" w:rsidRPr="002606DF">
        <w:rPr>
          <w:rFonts w:cs="Arial"/>
          <w:iCs/>
          <w:color w:val="222222"/>
          <w:sz w:val="20"/>
          <w:szCs w:val="20"/>
        </w:rPr>
        <w:t>32</w:t>
      </w:r>
      <w:r w:rsidRPr="002606DF">
        <w:rPr>
          <w:rFonts w:cs="Arial"/>
          <w:i/>
          <w:iCs/>
          <w:color w:val="222222"/>
          <w:sz w:val="20"/>
          <w:szCs w:val="20"/>
        </w:rPr>
        <w:t xml:space="preserve">, </w:t>
      </w:r>
      <w:r w:rsidRPr="002606DF">
        <w:rPr>
          <w:rFonts w:cs="Arial"/>
          <w:iCs/>
          <w:color w:val="222222"/>
          <w:sz w:val="20"/>
          <w:szCs w:val="20"/>
        </w:rPr>
        <w:t>n.</w:t>
      </w:r>
      <w:r w:rsidRPr="002606DF">
        <w:rPr>
          <w:rFonts w:cs="Arial"/>
          <w:i/>
          <w:iCs/>
          <w:color w:val="222222"/>
          <w:sz w:val="20"/>
          <w:szCs w:val="20"/>
        </w:rPr>
        <w:t xml:space="preserve"> </w:t>
      </w:r>
      <w:r w:rsidRPr="002606DF">
        <w:rPr>
          <w:rFonts w:cs="Arial"/>
          <w:color w:val="222222"/>
          <w:sz w:val="20"/>
          <w:szCs w:val="20"/>
        </w:rPr>
        <w:t>3</w:t>
      </w:r>
      <w:r w:rsidR="008E3FFE" w:rsidRPr="002606DF">
        <w:rPr>
          <w:rFonts w:cs="Arial"/>
          <w:color w:val="222222"/>
          <w:sz w:val="20"/>
          <w:szCs w:val="20"/>
        </w:rPr>
        <w:t>,</w:t>
      </w:r>
      <w:r w:rsidRPr="002606DF">
        <w:rPr>
          <w:rFonts w:cs="Arial"/>
          <w:color w:val="222222"/>
          <w:sz w:val="20"/>
          <w:szCs w:val="20"/>
        </w:rPr>
        <w:t xml:space="preserve"> p.</w:t>
      </w:r>
      <w:r w:rsidR="008E3FFE" w:rsidRPr="002606DF">
        <w:rPr>
          <w:rFonts w:cs="Arial"/>
          <w:color w:val="222222"/>
          <w:sz w:val="20"/>
          <w:szCs w:val="20"/>
        </w:rPr>
        <w:t xml:space="preserve"> 356-</w:t>
      </w:r>
      <w:r w:rsidRPr="002606DF">
        <w:rPr>
          <w:rFonts w:cs="Arial"/>
          <w:color w:val="222222"/>
          <w:sz w:val="20"/>
          <w:szCs w:val="20"/>
        </w:rPr>
        <w:t>3</w:t>
      </w:r>
      <w:r w:rsidR="008E3FFE" w:rsidRPr="002606DF">
        <w:rPr>
          <w:rFonts w:cs="Arial"/>
          <w:color w:val="222222"/>
          <w:sz w:val="20"/>
          <w:szCs w:val="20"/>
        </w:rPr>
        <w:t>62</w:t>
      </w:r>
      <w:r w:rsidRPr="002606DF">
        <w:rPr>
          <w:rFonts w:cs="Arial"/>
          <w:color w:val="222222"/>
          <w:sz w:val="20"/>
          <w:szCs w:val="20"/>
        </w:rPr>
        <w:t>, 2008</w:t>
      </w:r>
      <w:r w:rsidR="008E3FFE" w:rsidRPr="002606DF">
        <w:rPr>
          <w:rFonts w:cs="Arial"/>
          <w:color w:val="222222"/>
          <w:sz w:val="20"/>
          <w:szCs w:val="20"/>
        </w:rPr>
        <w:t>.</w:t>
      </w:r>
    </w:p>
    <w:p w:rsidR="00362E65" w:rsidRPr="002606DF" w:rsidRDefault="001B79E7" w:rsidP="00296B8E">
      <w:pPr>
        <w:spacing w:after="120"/>
        <w:rPr>
          <w:rFonts w:cs="Arial"/>
          <w:color w:val="222222"/>
          <w:sz w:val="20"/>
          <w:szCs w:val="20"/>
        </w:rPr>
      </w:pPr>
      <w:r w:rsidRPr="002606DF">
        <w:rPr>
          <w:rFonts w:cs="Arial"/>
          <w:color w:val="222222"/>
          <w:sz w:val="20"/>
          <w:szCs w:val="20"/>
        </w:rPr>
        <w:t>ARRUDA</w:t>
      </w:r>
      <w:r w:rsidR="00801430" w:rsidRPr="002606DF">
        <w:rPr>
          <w:rFonts w:cs="Arial"/>
          <w:color w:val="222222"/>
          <w:sz w:val="20"/>
          <w:szCs w:val="20"/>
        </w:rPr>
        <w:t>, M. A.</w:t>
      </w:r>
      <w:r w:rsidR="00362E65" w:rsidRPr="002606DF">
        <w:rPr>
          <w:rFonts w:cs="Arial"/>
          <w:color w:val="222222"/>
          <w:sz w:val="20"/>
          <w:szCs w:val="20"/>
        </w:rPr>
        <w:t xml:space="preserve"> Origem da Universidade Federal de Viçosa: modernidade, agricultura de exportação e importação de modelos (1922-1970).</w:t>
      </w:r>
      <w:r w:rsidR="00061AA1" w:rsidRPr="002606DF">
        <w:rPr>
          <w:rFonts w:cs="Arial"/>
          <w:color w:val="222222"/>
          <w:sz w:val="20"/>
          <w:szCs w:val="20"/>
        </w:rPr>
        <w:t xml:space="preserve"> </w:t>
      </w:r>
      <w:r w:rsidR="00362E65" w:rsidRPr="002606DF">
        <w:rPr>
          <w:rFonts w:cs="Arial"/>
          <w:b/>
          <w:iCs/>
          <w:color w:val="222222"/>
          <w:sz w:val="20"/>
          <w:szCs w:val="20"/>
        </w:rPr>
        <w:t>Cadernos de História da Educação</w:t>
      </w:r>
      <w:r w:rsidR="00362E65" w:rsidRPr="002606DF">
        <w:rPr>
          <w:rFonts w:cs="Arial"/>
          <w:color w:val="222222"/>
          <w:sz w:val="20"/>
          <w:szCs w:val="20"/>
        </w:rPr>
        <w:t>,</w:t>
      </w:r>
      <w:r w:rsidR="00362E65" w:rsidRPr="002606DF">
        <w:rPr>
          <w:rStyle w:val="apple-converted-space"/>
          <w:rFonts w:cs="Arial"/>
          <w:color w:val="222222"/>
          <w:sz w:val="20"/>
          <w:szCs w:val="20"/>
        </w:rPr>
        <w:t xml:space="preserve"> v. </w:t>
      </w:r>
      <w:r w:rsidR="00362E65" w:rsidRPr="002606DF">
        <w:rPr>
          <w:rFonts w:cs="Arial"/>
          <w:iCs/>
          <w:color w:val="222222"/>
          <w:sz w:val="20"/>
          <w:szCs w:val="20"/>
        </w:rPr>
        <w:t>2, p. 141-148</w:t>
      </w:r>
      <w:r w:rsidR="00801430" w:rsidRPr="002606DF">
        <w:rPr>
          <w:rFonts w:cs="Arial"/>
          <w:color w:val="222222"/>
          <w:sz w:val="20"/>
          <w:szCs w:val="20"/>
        </w:rPr>
        <w:t>, 2003.</w:t>
      </w:r>
    </w:p>
    <w:p w:rsidR="00B86486" w:rsidRPr="002606DF" w:rsidRDefault="00B86486" w:rsidP="00296B8E">
      <w:pPr>
        <w:autoSpaceDE w:val="0"/>
        <w:autoSpaceDN w:val="0"/>
        <w:adjustRightInd w:val="0"/>
        <w:spacing w:after="120" w:line="240" w:lineRule="auto"/>
        <w:rPr>
          <w:sz w:val="20"/>
          <w:szCs w:val="20"/>
        </w:rPr>
      </w:pPr>
      <w:r w:rsidRPr="002606DF">
        <w:rPr>
          <w:sz w:val="20"/>
          <w:szCs w:val="20"/>
        </w:rPr>
        <w:t xml:space="preserve">BENETTI, P. C.; SOUSA, A. I.; SOUZA, M. H. N. Creditação da extensão universitária nos cursos de graduação: relato de experiência. </w:t>
      </w:r>
      <w:r w:rsidRPr="002606DF">
        <w:rPr>
          <w:b/>
          <w:bCs/>
          <w:sz w:val="20"/>
          <w:szCs w:val="20"/>
        </w:rPr>
        <w:t>Revista Brasileira de Extensão Universitária</w:t>
      </w:r>
      <w:r w:rsidR="00801430" w:rsidRPr="002606DF">
        <w:rPr>
          <w:sz w:val="20"/>
          <w:szCs w:val="20"/>
        </w:rPr>
        <w:t>,</w:t>
      </w:r>
      <w:r w:rsidRPr="002606DF">
        <w:rPr>
          <w:sz w:val="20"/>
          <w:szCs w:val="20"/>
        </w:rPr>
        <w:t xml:space="preserve"> v. 6, n. 1, p. 25-32, 2015. </w:t>
      </w:r>
    </w:p>
    <w:p w:rsidR="008D234A" w:rsidRPr="002606DF" w:rsidRDefault="008D234A" w:rsidP="00296B8E">
      <w:pPr>
        <w:autoSpaceDE w:val="0"/>
        <w:autoSpaceDN w:val="0"/>
        <w:adjustRightInd w:val="0"/>
        <w:spacing w:after="120" w:line="240" w:lineRule="auto"/>
        <w:rPr>
          <w:rFonts w:cs="TimesNewRomanPSMT"/>
          <w:sz w:val="20"/>
          <w:szCs w:val="20"/>
          <w:lang w:val="pt-BR"/>
        </w:rPr>
      </w:pPr>
      <w:r w:rsidRPr="002606DF">
        <w:rPr>
          <w:rFonts w:cs="Arial"/>
          <w:sz w:val="20"/>
          <w:szCs w:val="20"/>
        </w:rPr>
        <w:t xml:space="preserve">BIGGS, J. </w:t>
      </w:r>
      <w:r w:rsidRPr="002606DF">
        <w:rPr>
          <w:rFonts w:cs="Tahoma-Bold"/>
          <w:b/>
          <w:bCs/>
          <w:sz w:val="20"/>
          <w:szCs w:val="20"/>
          <w:lang w:val="pt-BR"/>
        </w:rPr>
        <w:t xml:space="preserve">Calidad del </w:t>
      </w:r>
      <w:r w:rsidR="0076511D" w:rsidRPr="002606DF">
        <w:rPr>
          <w:rFonts w:cs="Tahoma-Bold"/>
          <w:b/>
          <w:bCs/>
          <w:sz w:val="20"/>
          <w:szCs w:val="20"/>
          <w:lang w:val="pt-BR"/>
        </w:rPr>
        <w:t>aprendizaje u</w:t>
      </w:r>
      <w:r w:rsidRPr="002606DF">
        <w:rPr>
          <w:rFonts w:cs="Tahoma-Bold"/>
          <w:b/>
          <w:bCs/>
          <w:sz w:val="20"/>
          <w:szCs w:val="20"/>
          <w:lang w:val="pt-BR"/>
        </w:rPr>
        <w:t xml:space="preserve">niversitario. </w:t>
      </w:r>
      <w:r w:rsidRPr="002606DF">
        <w:rPr>
          <w:rFonts w:cs="Tahoma-Bold"/>
          <w:bCs/>
          <w:sz w:val="20"/>
          <w:szCs w:val="20"/>
          <w:lang w:val="pt-BR"/>
        </w:rPr>
        <w:t>Madrid:</w:t>
      </w:r>
      <w:r w:rsidRPr="002606DF">
        <w:rPr>
          <w:rFonts w:cs="Tahoma-Bold"/>
          <w:b/>
          <w:bCs/>
          <w:sz w:val="20"/>
          <w:szCs w:val="20"/>
          <w:lang w:val="pt-BR"/>
        </w:rPr>
        <w:t xml:space="preserve"> </w:t>
      </w:r>
      <w:r w:rsidRPr="002606DF">
        <w:rPr>
          <w:rFonts w:cs="TimesNewRomanPSMT"/>
          <w:sz w:val="20"/>
          <w:szCs w:val="20"/>
          <w:lang w:val="pt-BR"/>
        </w:rPr>
        <w:t>NARCEA 2005.</w:t>
      </w:r>
    </w:p>
    <w:p w:rsidR="00104604" w:rsidRPr="002606DF" w:rsidRDefault="00801430" w:rsidP="00296B8E">
      <w:pPr>
        <w:autoSpaceDE w:val="0"/>
        <w:autoSpaceDN w:val="0"/>
        <w:adjustRightInd w:val="0"/>
        <w:spacing w:after="120" w:line="240" w:lineRule="auto"/>
        <w:rPr>
          <w:rFonts w:cs="Arial"/>
          <w:sz w:val="20"/>
          <w:szCs w:val="20"/>
          <w:shd w:val="clear" w:color="auto" w:fill="FFFFFF"/>
        </w:rPr>
      </w:pPr>
      <w:r w:rsidRPr="002606DF">
        <w:rPr>
          <w:rFonts w:cs="Arial"/>
          <w:sz w:val="20"/>
          <w:szCs w:val="20"/>
        </w:rPr>
        <w:t xml:space="preserve">BONIFÁCIO, S. D. P.; SILVA, R. C. B. D.; MONTESANO, F. T.; </w:t>
      </w:r>
      <w:r w:rsidR="00104604" w:rsidRPr="002606DF">
        <w:rPr>
          <w:rFonts w:cs="Arial"/>
          <w:sz w:val="20"/>
          <w:szCs w:val="20"/>
        </w:rPr>
        <w:t>PADOVANI, R. D. C. Investigação e manejo de eventos estressores entre estudantes de Psicologia.</w:t>
      </w:r>
      <w:r w:rsidR="00104604" w:rsidRPr="002606DF">
        <w:rPr>
          <w:rStyle w:val="apple-converted-space"/>
          <w:rFonts w:cs="Arial"/>
          <w:sz w:val="20"/>
          <w:szCs w:val="20"/>
        </w:rPr>
        <w:t> </w:t>
      </w:r>
      <w:r w:rsidR="00104604" w:rsidRPr="002606DF">
        <w:rPr>
          <w:rFonts w:cs="Arial"/>
          <w:b/>
          <w:iCs/>
          <w:sz w:val="20"/>
          <w:szCs w:val="20"/>
        </w:rPr>
        <w:t>Revista Brasileira de Terapias Cognitivas</w:t>
      </w:r>
      <w:r w:rsidR="00104604" w:rsidRPr="002606DF">
        <w:rPr>
          <w:rFonts w:cs="Arial"/>
          <w:sz w:val="20"/>
          <w:szCs w:val="20"/>
        </w:rPr>
        <w:t>,</w:t>
      </w:r>
      <w:r w:rsidR="00104604" w:rsidRPr="002606DF">
        <w:rPr>
          <w:rStyle w:val="apple-converted-space"/>
          <w:rFonts w:cs="Arial"/>
          <w:sz w:val="20"/>
          <w:szCs w:val="20"/>
        </w:rPr>
        <w:t xml:space="preserve"> v. </w:t>
      </w:r>
      <w:r w:rsidR="00104604" w:rsidRPr="002606DF">
        <w:rPr>
          <w:rFonts w:cs="Arial"/>
          <w:iCs/>
          <w:sz w:val="20"/>
          <w:szCs w:val="20"/>
        </w:rPr>
        <w:t>7,</w:t>
      </w:r>
      <w:r w:rsidR="00104604" w:rsidRPr="002606DF">
        <w:rPr>
          <w:rFonts w:cs="Arial"/>
          <w:i/>
          <w:iCs/>
          <w:sz w:val="20"/>
          <w:szCs w:val="20"/>
        </w:rPr>
        <w:t xml:space="preserve"> </w:t>
      </w:r>
      <w:r w:rsidR="00104604" w:rsidRPr="002606DF">
        <w:rPr>
          <w:rFonts w:cs="Arial"/>
          <w:iCs/>
          <w:sz w:val="20"/>
          <w:szCs w:val="20"/>
        </w:rPr>
        <w:t>n.</w:t>
      </w:r>
      <w:r w:rsidR="00104604" w:rsidRPr="002606DF">
        <w:rPr>
          <w:rFonts w:cs="Arial"/>
          <w:i/>
          <w:iCs/>
          <w:sz w:val="20"/>
          <w:szCs w:val="20"/>
        </w:rPr>
        <w:t xml:space="preserve"> </w:t>
      </w:r>
      <w:r w:rsidR="00104604" w:rsidRPr="002606DF">
        <w:rPr>
          <w:rFonts w:cs="Arial"/>
          <w:sz w:val="20"/>
          <w:szCs w:val="20"/>
        </w:rPr>
        <w:t>1, p. 15-20</w:t>
      </w:r>
      <w:r w:rsidRPr="002606DF">
        <w:rPr>
          <w:rFonts w:cs="Arial"/>
          <w:sz w:val="20"/>
          <w:szCs w:val="20"/>
        </w:rPr>
        <w:t>, 2011.</w:t>
      </w:r>
    </w:p>
    <w:p w:rsidR="00B86573" w:rsidRPr="002606DF" w:rsidRDefault="00B86573" w:rsidP="00296B8E">
      <w:pPr>
        <w:autoSpaceDE w:val="0"/>
        <w:autoSpaceDN w:val="0"/>
        <w:adjustRightInd w:val="0"/>
        <w:spacing w:after="120" w:line="240" w:lineRule="auto"/>
        <w:rPr>
          <w:rFonts w:cs="TimesNewRomanPSMT"/>
          <w:sz w:val="20"/>
          <w:szCs w:val="20"/>
          <w:lang w:val="pt-BR"/>
        </w:rPr>
      </w:pPr>
      <w:r w:rsidRPr="002606DF">
        <w:rPr>
          <w:rFonts w:cs="TimesNewRomanPSMT"/>
          <w:sz w:val="20"/>
          <w:szCs w:val="20"/>
          <w:lang w:val="pt-BR"/>
        </w:rPr>
        <w:lastRenderedPageBreak/>
        <w:t xml:space="preserve">BRASIL. </w:t>
      </w:r>
      <w:r w:rsidRPr="002606DF">
        <w:rPr>
          <w:rFonts w:cs="TimesNewRomanPS-BoldMT"/>
          <w:b/>
          <w:bCs/>
          <w:sz w:val="20"/>
          <w:szCs w:val="20"/>
          <w:lang w:val="pt-BR"/>
        </w:rPr>
        <w:t>Estatuto das Universidades Brasileiras</w:t>
      </w:r>
      <w:r w:rsidRPr="002606DF">
        <w:rPr>
          <w:rFonts w:cs="TimesNewRomanPSMT"/>
          <w:sz w:val="20"/>
          <w:szCs w:val="20"/>
          <w:lang w:val="pt-BR"/>
        </w:rPr>
        <w:t>. Decreto nº 19.851, de 11 de abril de</w:t>
      </w:r>
      <w:r w:rsidR="008F719C" w:rsidRPr="002606DF">
        <w:rPr>
          <w:rFonts w:cs="TimesNewRomanPSMT"/>
          <w:sz w:val="20"/>
          <w:szCs w:val="20"/>
          <w:lang w:val="pt-BR"/>
        </w:rPr>
        <w:t xml:space="preserve"> </w:t>
      </w:r>
      <w:r w:rsidRPr="002606DF">
        <w:rPr>
          <w:rFonts w:cs="TimesNewRomanPSMT"/>
          <w:sz w:val="20"/>
          <w:szCs w:val="20"/>
          <w:lang w:val="pt-BR"/>
        </w:rPr>
        <w:t>1931. Rio de Janeiro, 1931.</w:t>
      </w:r>
    </w:p>
    <w:p w:rsidR="00B86486" w:rsidRPr="002606DF" w:rsidRDefault="00B86486" w:rsidP="00296B8E">
      <w:pPr>
        <w:spacing w:after="120"/>
        <w:rPr>
          <w:sz w:val="20"/>
          <w:szCs w:val="20"/>
        </w:rPr>
      </w:pPr>
      <w:r w:rsidRPr="002606DF">
        <w:rPr>
          <w:sz w:val="20"/>
          <w:szCs w:val="20"/>
        </w:rPr>
        <w:t xml:space="preserve">BRASIL. Lei nº 10.172, de 9 de janeiro de 2001. </w:t>
      </w:r>
      <w:r w:rsidRPr="002606DF">
        <w:rPr>
          <w:b/>
          <w:sz w:val="20"/>
          <w:szCs w:val="20"/>
        </w:rPr>
        <w:t xml:space="preserve">Aprova o Plano Nacional de Educação-PNE e dá outras </w:t>
      </w:r>
      <w:r w:rsidRPr="002606DF">
        <w:rPr>
          <w:sz w:val="20"/>
          <w:szCs w:val="20"/>
        </w:rPr>
        <w:t xml:space="preserve">providências. Brasília: 2001. Disponível em: &lt; </w:t>
      </w:r>
      <w:hyperlink r:id="rId8" w:history="1">
        <w:r w:rsidRPr="002606DF">
          <w:rPr>
            <w:rStyle w:val="Hyperlink"/>
            <w:sz w:val="20"/>
            <w:szCs w:val="20"/>
          </w:rPr>
          <w:t>http://www.planalto.gov.br/ccivil_03/leis/leis_2001/l10172.htm</w:t>
        </w:r>
      </w:hyperlink>
      <w:r w:rsidRPr="002606DF">
        <w:rPr>
          <w:sz w:val="20"/>
          <w:szCs w:val="20"/>
        </w:rPr>
        <w:t xml:space="preserve"> &gt;. Acesso em: 13 ago. 2014.</w:t>
      </w:r>
    </w:p>
    <w:p w:rsidR="00B86486" w:rsidRPr="002606DF" w:rsidRDefault="00B86486" w:rsidP="00296B8E">
      <w:pPr>
        <w:spacing w:after="120"/>
        <w:rPr>
          <w:sz w:val="20"/>
          <w:szCs w:val="20"/>
        </w:rPr>
      </w:pPr>
      <w:r w:rsidRPr="002606DF">
        <w:rPr>
          <w:sz w:val="20"/>
          <w:szCs w:val="20"/>
        </w:rPr>
        <w:t xml:space="preserve">BRASIL. Lei nº 13.005, de junho de 2014. Aprova o Plano Nacional de Educação – PNE e dá outras providências. </w:t>
      </w:r>
      <w:r w:rsidRPr="002606DF">
        <w:rPr>
          <w:b/>
          <w:bCs/>
          <w:sz w:val="20"/>
          <w:szCs w:val="20"/>
        </w:rPr>
        <w:t>Diário Oficial da União</w:t>
      </w:r>
      <w:r w:rsidRPr="002606DF">
        <w:rPr>
          <w:sz w:val="20"/>
          <w:szCs w:val="20"/>
        </w:rPr>
        <w:t>, Edição extra, p. 1-8, 26 de junho de 2014.</w:t>
      </w:r>
    </w:p>
    <w:p w:rsidR="0007044D" w:rsidRPr="002606DF" w:rsidRDefault="00801430" w:rsidP="00296B8E">
      <w:pPr>
        <w:spacing w:after="120"/>
        <w:rPr>
          <w:rFonts w:cs="Arial"/>
          <w:color w:val="222222"/>
          <w:sz w:val="20"/>
          <w:szCs w:val="20"/>
          <w:shd w:val="clear" w:color="auto" w:fill="FFFFFF"/>
        </w:rPr>
      </w:pPr>
      <w:r w:rsidRPr="002606DF">
        <w:rPr>
          <w:rFonts w:cs="Arial"/>
          <w:color w:val="222222"/>
          <w:sz w:val="20"/>
          <w:szCs w:val="20"/>
        </w:rPr>
        <w:t>CHONG, C.</w:t>
      </w:r>
      <w:r w:rsidR="00D67E51" w:rsidRPr="002606DF">
        <w:rPr>
          <w:rFonts w:cs="Arial"/>
          <w:color w:val="222222"/>
          <w:sz w:val="20"/>
          <w:szCs w:val="20"/>
        </w:rPr>
        <w:t xml:space="preserve"> Service-learning research: d</w:t>
      </w:r>
      <w:r w:rsidR="0007044D" w:rsidRPr="002606DF">
        <w:rPr>
          <w:rFonts w:cs="Arial"/>
          <w:color w:val="222222"/>
          <w:sz w:val="20"/>
          <w:szCs w:val="20"/>
        </w:rPr>
        <w:t>efinitional challenges and complexities</w:t>
      </w:r>
      <w:r w:rsidR="0007044D" w:rsidRPr="002606DF">
        <w:rPr>
          <w:rFonts w:cs="Arial"/>
          <w:b/>
          <w:color w:val="222222"/>
          <w:sz w:val="20"/>
          <w:szCs w:val="20"/>
        </w:rPr>
        <w:t>.</w:t>
      </w:r>
      <w:r w:rsidR="0007044D" w:rsidRPr="002606DF">
        <w:rPr>
          <w:rStyle w:val="apple-converted-space"/>
          <w:rFonts w:cs="Arial"/>
          <w:b/>
          <w:color w:val="222222"/>
          <w:sz w:val="20"/>
          <w:szCs w:val="20"/>
        </w:rPr>
        <w:t> </w:t>
      </w:r>
      <w:r w:rsidR="0007044D" w:rsidRPr="002606DF">
        <w:rPr>
          <w:rFonts w:cs="Arial"/>
          <w:b/>
          <w:iCs/>
          <w:color w:val="222222"/>
          <w:sz w:val="20"/>
          <w:szCs w:val="20"/>
        </w:rPr>
        <w:t>Asia Pacific Journal of Cooperative Education</w:t>
      </w:r>
      <w:r w:rsidR="0007044D" w:rsidRPr="002606DF">
        <w:rPr>
          <w:rFonts w:cs="Arial"/>
          <w:color w:val="222222"/>
          <w:sz w:val="20"/>
          <w:szCs w:val="20"/>
        </w:rPr>
        <w:t>,</w:t>
      </w:r>
      <w:r w:rsidR="0007044D" w:rsidRPr="002606DF">
        <w:rPr>
          <w:rStyle w:val="apple-converted-space"/>
          <w:rFonts w:cs="Arial"/>
          <w:color w:val="222222"/>
          <w:sz w:val="20"/>
          <w:szCs w:val="20"/>
        </w:rPr>
        <w:t> </w:t>
      </w:r>
      <w:r w:rsidRPr="002606DF">
        <w:rPr>
          <w:rStyle w:val="apple-converted-space"/>
          <w:rFonts w:cs="Arial"/>
          <w:color w:val="222222"/>
          <w:sz w:val="20"/>
          <w:szCs w:val="20"/>
        </w:rPr>
        <w:t xml:space="preserve">v. </w:t>
      </w:r>
      <w:r w:rsidR="0007044D" w:rsidRPr="002606DF">
        <w:rPr>
          <w:rFonts w:cs="Arial"/>
          <w:iCs/>
          <w:color w:val="222222"/>
          <w:sz w:val="20"/>
          <w:szCs w:val="20"/>
        </w:rPr>
        <w:t>154</w:t>
      </w:r>
      <w:r w:rsidRPr="002606DF">
        <w:rPr>
          <w:rFonts w:cs="Arial"/>
          <w:iCs/>
          <w:color w:val="222222"/>
          <w:sz w:val="20"/>
          <w:szCs w:val="20"/>
        </w:rPr>
        <w:t>, n.</w:t>
      </w:r>
      <w:r w:rsidRPr="002606DF">
        <w:rPr>
          <w:rFonts w:cs="Arial"/>
          <w:color w:val="222222"/>
          <w:sz w:val="20"/>
          <w:szCs w:val="20"/>
        </w:rPr>
        <w:t xml:space="preserve"> 4</w:t>
      </w:r>
      <w:r w:rsidR="0007044D" w:rsidRPr="002606DF">
        <w:rPr>
          <w:rFonts w:cs="Arial"/>
          <w:color w:val="222222"/>
          <w:sz w:val="20"/>
          <w:szCs w:val="20"/>
        </w:rPr>
        <w:t xml:space="preserve">, </w:t>
      </w:r>
      <w:r w:rsidRPr="002606DF">
        <w:rPr>
          <w:rFonts w:cs="Arial"/>
          <w:color w:val="222222"/>
          <w:sz w:val="20"/>
          <w:szCs w:val="20"/>
        </w:rPr>
        <w:t xml:space="preserve">p. </w:t>
      </w:r>
      <w:r w:rsidR="0007044D" w:rsidRPr="002606DF">
        <w:rPr>
          <w:rFonts w:cs="Arial"/>
          <w:color w:val="222222"/>
          <w:sz w:val="20"/>
          <w:szCs w:val="20"/>
        </w:rPr>
        <w:t>347-358</w:t>
      </w:r>
      <w:r w:rsidRPr="002606DF">
        <w:rPr>
          <w:rFonts w:cs="Arial"/>
          <w:color w:val="222222"/>
          <w:sz w:val="20"/>
          <w:szCs w:val="20"/>
        </w:rPr>
        <w:t>, 2014</w:t>
      </w:r>
      <w:r w:rsidR="0007044D" w:rsidRPr="002606DF">
        <w:rPr>
          <w:rFonts w:cs="Arial"/>
          <w:color w:val="222222"/>
          <w:sz w:val="20"/>
          <w:szCs w:val="20"/>
        </w:rPr>
        <w:t>.</w:t>
      </w:r>
    </w:p>
    <w:p w:rsidR="00DE6246" w:rsidRPr="002606DF" w:rsidRDefault="00DE6246" w:rsidP="00296B8E">
      <w:pPr>
        <w:autoSpaceDE w:val="0"/>
        <w:autoSpaceDN w:val="0"/>
        <w:adjustRightInd w:val="0"/>
        <w:spacing w:after="120" w:line="240" w:lineRule="auto"/>
        <w:rPr>
          <w:rFonts w:cs="Arial"/>
          <w:color w:val="222222"/>
          <w:sz w:val="20"/>
          <w:szCs w:val="20"/>
        </w:rPr>
      </w:pPr>
      <w:r w:rsidRPr="002606DF">
        <w:rPr>
          <w:rFonts w:cs="Arial"/>
          <w:sz w:val="20"/>
          <w:szCs w:val="20"/>
          <w:lang w:val="pt-BR"/>
        </w:rPr>
        <w:t xml:space="preserve">COELHO, G. C. O papel pedagógico da Extensão Universitária. </w:t>
      </w:r>
      <w:r w:rsidRPr="002606DF">
        <w:rPr>
          <w:rFonts w:cs="Arial"/>
          <w:b/>
          <w:bCs/>
          <w:sz w:val="20"/>
          <w:szCs w:val="20"/>
          <w:lang w:val="pt-BR"/>
        </w:rPr>
        <w:t>Em Extensão</w:t>
      </w:r>
      <w:r w:rsidRPr="002606DF">
        <w:rPr>
          <w:rFonts w:cs="Arial"/>
          <w:sz w:val="20"/>
          <w:szCs w:val="20"/>
          <w:lang w:val="pt-BR"/>
        </w:rPr>
        <w:t>, v. 13, n. 2, p. 11-24, 2014.</w:t>
      </w:r>
    </w:p>
    <w:p w:rsidR="004A7F78" w:rsidRPr="002606DF" w:rsidRDefault="00801430" w:rsidP="00296B8E">
      <w:pPr>
        <w:autoSpaceDE w:val="0"/>
        <w:autoSpaceDN w:val="0"/>
        <w:adjustRightInd w:val="0"/>
        <w:spacing w:after="120" w:line="240" w:lineRule="auto"/>
        <w:rPr>
          <w:rFonts w:cs="Arial"/>
          <w:color w:val="222222"/>
          <w:sz w:val="20"/>
          <w:szCs w:val="20"/>
          <w:shd w:val="clear" w:color="auto" w:fill="FFFFFF"/>
        </w:rPr>
      </w:pPr>
      <w:r w:rsidRPr="002606DF">
        <w:rPr>
          <w:rFonts w:cs="Arial"/>
          <w:color w:val="222222"/>
          <w:sz w:val="20"/>
          <w:szCs w:val="20"/>
        </w:rPr>
        <w:t>CONWAY, J. M.; AMEL, E. L.;</w:t>
      </w:r>
      <w:r w:rsidR="000458D2" w:rsidRPr="002606DF">
        <w:rPr>
          <w:rFonts w:cs="Arial"/>
          <w:color w:val="222222"/>
          <w:sz w:val="20"/>
          <w:szCs w:val="20"/>
        </w:rPr>
        <w:t xml:space="preserve"> GERWIEN, </w:t>
      </w:r>
      <w:r w:rsidRPr="002606DF">
        <w:rPr>
          <w:rFonts w:cs="Arial"/>
          <w:color w:val="222222"/>
          <w:sz w:val="20"/>
          <w:szCs w:val="20"/>
        </w:rPr>
        <w:t>D. P.</w:t>
      </w:r>
      <w:r w:rsidR="004A7F78" w:rsidRPr="002606DF">
        <w:rPr>
          <w:rFonts w:cs="Arial"/>
          <w:color w:val="222222"/>
          <w:sz w:val="20"/>
          <w:szCs w:val="20"/>
        </w:rPr>
        <w:t xml:space="preserve"> Teaching and learning in the social context: A meta-analysis of service learning's effects on academic, personal, social, and citizenship outcomes.</w:t>
      </w:r>
      <w:r w:rsidR="004A7F78" w:rsidRPr="002606DF">
        <w:rPr>
          <w:rStyle w:val="apple-converted-space"/>
          <w:rFonts w:cs="Arial"/>
          <w:color w:val="222222"/>
          <w:sz w:val="20"/>
          <w:szCs w:val="20"/>
        </w:rPr>
        <w:t> </w:t>
      </w:r>
      <w:r w:rsidR="004A7F78" w:rsidRPr="002606DF">
        <w:rPr>
          <w:rFonts w:cs="Arial"/>
          <w:b/>
          <w:iCs/>
          <w:color w:val="222222"/>
          <w:sz w:val="20"/>
          <w:szCs w:val="20"/>
        </w:rPr>
        <w:t>Teaching of Psychology</w:t>
      </w:r>
      <w:r w:rsidR="004A7F78" w:rsidRPr="002606DF">
        <w:rPr>
          <w:rFonts w:cs="Arial"/>
          <w:color w:val="222222"/>
          <w:sz w:val="20"/>
          <w:szCs w:val="20"/>
        </w:rPr>
        <w:t>,</w:t>
      </w:r>
      <w:r w:rsidR="004A7F78" w:rsidRPr="002606DF">
        <w:rPr>
          <w:rStyle w:val="apple-converted-space"/>
          <w:rFonts w:cs="Arial"/>
          <w:color w:val="222222"/>
          <w:sz w:val="20"/>
          <w:szCs w:val="20"/>
        </w:rPr>
        <w:t> </w:t>
      </w:r>
      <w:r w:rsidRPr="002606DF">
        <w:rPr>
          <w:rStyle w:val="apple-converted-space"/>
          <w:rFonts w:cs="Arial"/>
          <w:color w:val="222222"/>
          <w:sz w:val="20"/>
          <w:szCs w:val="20"/>
        </w:rPr>
        <w:t xml:space="preserve">v. </w:t>
      </w:r>
      <w:r w:rsidR="004A7F78" w:rsidRPr="002606DF">
        <w:rPr>
          <w:rFonts w:cs="Arial"/>
          <w:iCs/>
          <w:color w:val="222222"/>
          <w:sz w:val="20"/>
          <w:szCs w:val="20"/>
        </w:rPr>
        <w:t>36</w:t>
      </w:r>
      <w:r w:rsidRPr="002606DF">
        <w:rPr>
          <w:rFonts w:cs="Arial"/>
          <w:iCs/>
          <w:color w:val="222222"/>
          <w:sz w:val="20"/>
          <w:szCs w:val="20"/>
        </w:rPr>
        <w:t>, n.</w:t>
      </w:r>
      <w:r w:rsidRPr="002606DF">
        <w:rPr>
          <w:rFonts w:cs="Arial"/>
          <w:color w:val="222222"/>
          <w:sz w:val="20"/>
          <w:szCs w:val="20"/>
        </w:rPr>
        <w:t xml:space="preserve"> 4</w:t>
      </w:r>
      <w:r w:rsidR="004A7F78" w:rsidRPr="002606DF">
        <w:rPr>
          <w:rFonts w:cs="Arial"/>
          <w:color w:val="222222"/>
          <w:sz w:val="20"/>
          <w:szCs w:val="20"/>
        </w:rPr>
        <w:t xml:space="preserve">, </w:t>
      </w:r>
      <w:r w:rsidRPr="002606DF">
        <w:rPr>
          <w:rFonts w:cs="Arial"/>
          <w:color w:val="222222"/>
          <w:sz w:val="20"/>
          <w:szCs w:val="20"/>
        </w:rPr>
        <w:t xml:space="preserve">p. </w:t>
      </w:r>
      <w:r w:rsidR="004A7F78" w:rsidRPr="002606DF">
        <w:rPr>
          <w:rFonts w:cs="Arial"/>
          <w:color w:val="222222"/>
          <w:sz w:val="20"/>
          <w:szCs w:val="20"/>
        </w:rPr>
        <w:t>233-245</w:t>
      </w:r>
      <w:r w:rsidRPr="002606DF">
        <w:rPr>
          <w:rFonts w:cs="Arial"/>
          <w:color w:val="222222"/>
          <w:sz w:val="20"/>
          <w:szCs w:val="20"/>
        </w:rPr>
        <w:t>, 2009</w:t>
      </w:r>
      <w:r w:rsidR="004A7F78" w:rsidRPr="002606DF">
        <w:rPr>
          <w:rFonts w:cs="Arial"/>
          <w:color w:val="222222"/>
          <w:sz w:val="20"/>
          <w:szCs w:val="20"/>
        </w:rPr>
        <w:t>.</w:t>
      </w:r>
    </w:p>
    <w:p w:rsidR="00104604" w:rsidRPr="002606DF" w:rsidRDefault="00104604" w:rsidP="00296B8E">
      <w:pPr>
        <w:autoSpaceDE w:val="0"/>
        <w:autoSpaceDN w:val="0"/>
        <w:adjustRightInd w:val="0"/>
        <w:spacing w:after="120" w:line="240" w:lineRule="auto"/>
        <w:rPr>
          <w:rFonts w:cs="Arial"/>
          <w:color w:val="222222"/>
          <w:sz w:val="20"/>
          <w:szCs w:val="20"/>
          <w:shd w:val="clear" w:color="auto" w:fill="FFFFFF"/>
        </w:rPr>
      </w:pPr>
      <w:r w:rsidRPr="002606DF">
        <w:rPr>
          <w:rFonts w:cs="Arial"/>
          <w:color w:val="222222"/>
          <w:sz w:val="20"/>
          <w:szCs w:val="20"/>
        </w:rPr>
        <w:t>COPE, C.; STAEHR, L. Improving students' learning approaches through intervention in an information systems learning environment.</w:t>
      </w:r>
      <w:r w:rsidRPr="002606DF">
        <w:rPr>
          <w:rStyle w:val="apple-converted-space"/>
          <w:rFonts w:cs="Arial"/>
          <w:color w:val="222222"/>
          <w:sz w:val="20"/>
          <w:szCs w:val="20"/>
        </w:rPr>
        <w:t> </w:t>
      </w:r>
      <w:r w:rsidRPr="002606DF">
        <w:rPr>
          <w:rFonts w:cs="Arial"/>
          <w:b/>
          <w:iCs/>
          <w:color w:val="222222"/>
          <w:sz w:val="20"/>
          <w:szCs w:val="20"/>
        </w:rPr>
        <w:t>Studies in Higher Education</w:t>
      </w:r>
      <w:r w:rsidRPr="002606DF">
        <w:rPr>
          <w:rFonts w:cs="Arial"/>
          <w:color w:val="222222"/>
          <w:sz w:val="20"/>
          <w:szCs w:val="20"/>
        </w:rPr>
        <w:t>,</w:t>
      </w:r>
      <w:r w:rsidRPr="002606DF">
        <w:rPr>
          <w:rStyle w:val="apple-converted-space"/>
          <w:rFonts w:cs="Arial"/>
          <w:color w:val="222222"/>
          <w:sz w:val="20"/>
          <w:szCs w:val="20"/>
        </w:rPr>
        <w:t xml:space="preserve"> v. </w:t>
      </w:r>
      <w:r w:rsidRPr="002606DF">
        <w:rPr>
          <w:rFonts w:cs="Arial"/>
          <w:iCs/>
          <w:color w:val="222222"/>
          <w:sz w:val="20"/>
          <w:szCs w:val="20"/>
        </w:rPr>
        <w:t xml:space="preserve">30, n. </w:t>
      </w:r>
      <w:r w:rsidRPr="002606DF">
        <w:rPr>
          <w:rFonts w:cs="Arial"/>
          <w:color w:val="222222"/>
          <w:sz w:val="20"/>
          <w:szCs w:val="20"/>
        </w:rPr>
        <w:t>2, p. 181-197, 2005.</w:t>
      </w:r>
    </w:p>
    <w:p w:rsidR="00A41673" w:rsidRPr="002606DF" w:rsidRDefault="00A41673" w:rsidP="00296B8E">
      <w:pPr>
        <w:autoSpaceDE w:val="0"/>
        <w:autoSpaceDN w:val="0"/>
        <w:adjustRightInd w:val="0"/>
        <w:spacing w:after="120" w:line="240" w:lineRule="auto"/>
        <w:rPr>
          <w:rFonts w:cs="TimesNewRomanPSMT"/>
          <w:sz w:val="20"/>
          <w:szCs w:val="20"/>
          <w:lang w:val="pt-BR"/>
        </w:rPr>
      </w:pPr>
      <w:r w:rsidRPr="002606DF">
        <w:rPr>
          <w:rFonts w:cs="TimesNewRomanPSMT"/>
          <w:sz w:val="20"/>
          <w:szCs w:val="20"/>
          <w:lang w:val="pt-BR"/>
        </w:rPr>
        <w:t xml:space="preserve">DEMO, P. Lugar da extensão. In: FARIA, D. S. de (org.) </w:t>
      </w:r>
      <w:r w:rsidRPr="002606DF">
        <w:rPr>
          <w:rFonts w:cs="TimesNewRomanPSMT"/>
          <w:b/>
          <w:sz w:val="20"/>
          <w:szCs w:val="20"/>
          <w:lang w:val="pt-BR"/>
        </w:rPr>
        <w:t>Construção conceitual da extensão universitária na América Latina</w:t>
      </w:r>
      <w:r w:rsidRPr="002606DF">
        <w:rPr>
          <w:rFonts w:cs="TimesNewRomanPSMT"/>
          <w:sz w:val="20"/>
          <w:szCs w:val="20"/>
          <w:lang w:val="pt-BR"/>
        </w:rPr>
        <w:t>. Brasília: Universidade de Brasília, p. 141-158</w:t>
      </w:r>
      <w:r w:rsidR="00BB6F6E" w:rsidRPr="002606DF">
        <w:rPr>
          <w:rFonts w:cs="TimesNewRomanPSMT"/>
          <w:sz w:val="20"/>
          <w:szCs w:val="20"/>
          <w:lang w:val="pt-BR"/>
        </w:rPr>
        <w:t>, 2001</w:t>
      </w:r>
      <w:r w:rsidRPr="002606DF">
        <w:rPr>
          <w:rFonts w:cs="TimesNewRomanPSMT"/>
          <w:sz w:val="20"/>
          <w:szCs w:val="20"/>
          <w:lang w:val="pt-BR"/>
        </w:rPr>
        <w:t>.</w:t>
      </w:r>
    </w:p>
    <w:p w:rsidR="008F719C" w:rsidRPr="002606DF" w:rsidRDefault="00B86573" w:rsidP="00296B8E">
      <w:pPr>
        <w:autoSpaceDE w:val="0"/>
        <w:autoSpaceDN w:val="0"/>
        <w:adjustRightInd w:val="0"/>
        <w:spacing w:after="120" w:line="240" w:lineRule="auto"/>
        <w:rPr>
          <w:rFonts w:cs="TimesNewRomanPSMT"/>
          <w:sz w:val="20"/>
          <w:szCs w:val="20"/>
          <w:lang w:val="pt-BR"/>
        </w:rPr>
      </w:pPr>
      <w:r w:rsidRPr="002606DF">
        <w:rPr>
          <w:rFonts w:cs="TimesNewRomanPSMT"/>
          <w:sz w:val="20"/>
          <w:szCs w:val="20"/>
          <w:lang w:val="pt-BR"/>
        </w:rPr>
        <w:t xml:space="preserve">DE PAULA, J. A. A extensão universitária: história, conceito e propostas. </w:t>
      </w:r>
      <w:r w:rsidRPr="002606DF">
        <w:rPr>
          <w:rFonts w:cs="TimesNewRomanPS-BoldMT"/>
          <w:b/>
          <w:bCs/>
          <w:sz w:val="20"/>
          <w:szCs w:val="20"/>
          <w:lang w:val="pt-BR"/>
        </w:rPr>
        <w:t>Interfaces</w:t>
      </w:r>
      <w:r w:rsidR="00801430" w:rsidRPr="002606DF">
        <w:rPr>
          <w:rFonts w:cs="TimesNewRomanPS-BoldMT"/>
          <w:b/>
          <w:bCs/>
          <w:sz w:val="20"/>
          <w:szCs w:val="20"/>
          <w:lang w:val="pt-BR"/>
        </w:rPr>
        <w:t xml:space="preserve"> (UFMG)</w:t>
      </w:r>
      <w:r w:rsidR="00801430" w:rsidRPr="002606DF">
        <w:rPr>
          <w:rFonts w:cs="TimesNewRomanPSMT"/>
          <w:sz w:val="20"/>
          <w:szCs w:val="20"/>
          <w:lang w:val="pt-BR"/>
        </w:rPr>
        <w:t>,</w:t>
      </w:r>
      <w:r w:rsidRPr="002606DF">
        <w:rPr>
          <w:rFonts w:cs="TimesNewRomanPSMT"/>
          <w:sz w:val="20"/>
          <w:szCs w:val="20"/>
          <w:lang w:val="pt-BR"/>
        </w:rPr>
        <w:t xml:space="preserve"> v. 1, n. 1, p. 5-23, 2013.</w:t>
      </w:r>
    </w:p>
    <w:p w:rsidR="00C741C2" w:rsidRPr="002606DF" w:rsidRDefault="00C741C2" w:rsidP="00296B8E">
      <w:pPr>
        <w:autoSpaceDE w:val="0"/>
        <w:autoSpaceDN w:val="0"/>
        <w:adjustRightInd w:val="0"/>
        <w:spacing w:after="120" w:line="240" w:lineRule="auto"/>
        <w:rPr>
          <w:rFonts w:cs="Arial"/>
          <w:sz w:val="20"/>
          <w:szCs w:val="20"/>
        </w:rPr>
      </w:pPr>
      <w:r w:rsidRPr="002606DF">
        <w:rPr>
          <w:rFonts w:cs="Arial"/>
          <w:sz w:val="20"/>
          <w:szCs w:val="20"/>
        </w:rPr>
        <w:t xml:space="preserve">ENDIÁLOGO. La integralidad possible – un primer acercamiento al impacto de los Espacios de Formación Integral. </w:t>
      </w:r>
      <w:r w:rsidRPr="002606DF">
        <w:rPr>
          <w:rFonts w:cs="Arial"/>
          <w:b/>
          <w:sz w:val="20"/>
          <w:szCs w:val="20"/>
        </w:rPr>
        <w:t>EnDiálogo</w:t>
      </w:r>
      <w:r w:rsidRPr="002606DF">
        <w:rPr>
          <w:rFonts w:cs="Arial"/>
          <w:sz w:val="20"/>
          <w:szCs w:val="20"/>
        </w:rPr>
        <w:t>, n. 16, ano 6, p. 2-4, 2014.</w:t>
      </w:r>
    </w:p>
    <w:p w:rsidR="00F5570B" w:rsidRPr="002606DF" w:rsidRDefault="00F5570B" w:rsidP="00296B8E">
      <w:pPr>
        <w:autoSpaceDE w:val="0"/>
        <w:autoSpaceDN w:val="0"/>
        <w:adjustRightInd w:val="0"/>
        <w:spacing w:after="120" w:line="240" w:lineRule="auto"/>
        <w:rPr>
          <w:rFonts w:cs="Arial"/>
          <w:sz w:val="20"/>
          <w:szCs w:val="20"/>
          <w:shd w:val="clear" w:color="auto" w:fill="FFFFFF"/>
        </w:rPr>
      </w:pPr>
      <w:r w:rsidRPr="002606DF">
        <w:rPr>
          <w:rFonts w:cs="Arial"/>
          <w:sz w:val="20"/>
          <w:szCs w:val="20"/>
        </w:rPr>
        <w:t>FADEL</w:t>
      </w:r>
      <w:r w:rsidR="00801430" w:rsidRPr="002606DF">
        <w:rPr>
          <w:rFonts w:cs="Arial"/>
          <w:sz w:val="20"/>
          <w:szCs w:val="20"/>
        </w:rPr>
        <w:t>, C. B.; BORDIN, D.; KUHN, E.; MARTINS, L. D</w:t>
      </w:r>
      <w:r w:rsidRPr="002606DF">
        <w:rPr>
          <w:rFonts w:cs="Arial"/>
          <w:sz w:val="20"/>
          <w:szCs w:val="20"/>
        </w:rPr>
        <w:t>. O impacto da extensão universitária sobre a formação acadêmica em Odontologia.</w:t>
      </w:r>
      <w:r w:rsidRPr="002606DF">
        <w:rPr>
          <w:rStyle w:val="apple-converted-space"/>
          <w:rFonts w:cs="Arial"/>
          <w:sz w:val="20"/>
          <w:szCs w:val="20"/>
        </w:rPr>
        <w:t> </w:t>
      </w:r>
      <w:r w:rsidRPr="002606DF">
        <w:rPr>
          <w:rFonts w:cs="Arial"/>
          <w:b/>
          <w:iCs/>
          <w:sz w:val="20"/>
          <w:szCs w:val="20"/>
        </w:rPr>
        <w:t>Interface-Comunicação, Saúde, Educação</w:t>
      </w:r>
      <w:r w:rsidRPr="002606DF">
        <w:rPr>
          <w:rFonts w:cs="Arial"/>
          <w:sz w:val="20"/>
          <w:szCs w:val="20"/>
        </w:rPr>
        <w:t xml:space="preserve">, v. 17, n. 47, </w:t>
      </w:r>
      <w:r w:rsidR="00801430" w:rsidRPr="002606DF">
        <w:rPr>
          <w:rFonts w:cs="Arial"/>
          <w:sz w:val="20"/>
          <w:szCs w:val="20"/>
        </w:rPr>
        <w:t xml:space="preserve">p. </w:t>
      </w:r>
      <w:r w:rsidRPr="002606DF">
        <w:rPr>
          <w:rFonts w:cs="Arial"/>
          <w:sz w:val="20"/>
          <w:szCs w:val="20"/>
        </w:rPr>
        <w:t>937-946</w:t>
      </w:r>
      <w:r w:rsidR="00801430" w:rsidRPr="002606DF">
        <w:rPr>
          <w:rFonts w:cs="Arial"/>
          <w:sz w:val="20"/>
          <w:szCs w:val="20"/>
        </w:rPr>
        <w:t>, 2013</w:t>
      </w:r>
      <w:r w:rsidRPr="002606DF">
        <w:rPr>
          <w:rFonts w:cs="Arial"/>
          <w:sz w:val="20"/>
          <w:szCs w:val="20"/>
        </w:rPr>
        <w:t>.</w:t>
      </w:r>
    </w:p>
    <w:p w:rsidR="00C96EA1" w:rsidRPr="002606DF" w:rsidRDefault="00801430" w:rsidP="00296B8E">
      <w:pPr>
        <w:autoSpaceDE w:val="0"/>
        <w:autoSpaceDN w:val="0"/>
        <w:adjustRightInd w:val="0"/>
        <w:spacing w:after="120" w:line="240" w:lineRule="auto"/>
        <w:rPr>
          <w:rFonts w:cs="TimesNewRomanPSMT"/>
          <w:sz w:val="20"/>
          <w:szCs w:val="20"/>
          <w:lang w:val="pt-BR"/>
        </w:rPr>
      </w:pPr>
      <w:r w:rsidRPr="002606DF">
        <w:rPr>
          <w:rFonts w:cs="GillSans-LightItalic"/>
          <w:iCs/>
          <w:sz w:val="20"/>
          <w:szCs w:val="20"/>
          <w:lang w:val="pt-BR"/>
        </w:rPr>
        <w:t>FOLGUEIRAS BERTOMEU, P.; LUNA GONZÁLEZ, E.; PUIG LATORRE, G.</w:t>
      </w:r>
      <w:r w:rsidRPr="002606DF">
        <w:rPr>
          <w:rFonts w:cs="GillSans-LightItalic"/>
          <w:i/>
          <w:iCs/>
          <w:sz w:val="20"/>
          <w:szCs w:val="20"/>
          <w:lang w:val="pt-BR"/>
        </w:rPr>
        <w:t xml:space="preserve"> </w:t>
      </w:r>
      <w:r w:rsidRPr="002606DF">
        <w:rPr>
          <w:rFonts w:cs="GillSans-Light"/>
          <w:sz w:val="20"/>
          <w:szCs w:val="20"/>
          <w:lang w:val="pt-BR"/>
        </w:rPr>
        <w:t>Aprendizaje y servicio: estudio del grado de satisfacción de estudiantes universitarios</w:t>
      </w:r>
      <w:r w:rsidR="00C96EA1" w:rsidRPr="002606DF">
        <w:rPr>
          <w:rFonts w:cs="TimesNewRomanPSMT"/>
          <w:sz w:val="20"/>
          <w:szCs w:val="20"/>
          <w:lang w:val="pt-BR"/>
        </w:rPr>
        <w:t xml:space="preserve"> . </w:t>
      </w:r>
      <w:r w:rsidR="00C96EA1" w:rsidRPr="002606DF">
        <w:rPr>
          <w:rFonts w:cs="GillSans-Light"/>
          <w:b/>
          <w:sz w:val="20"/>
          <w:szCs w:val="20"/>
          <w:lang w:val="pt-BR"/>
        </w:rPr>
        <w:t>Revista de Educación</w:t>
      </w:r>
      <w:r w:rsidR="00C96EA1" w:rsidRPr="002606DF">
        <w:rPr>
          <w:rFonts w:cs="GillSans-Light"/>
          <w:sz w:val="20"/>
          <w:szCs w:val="20"/>
          <w:lang w:val="pt-BR"/>
        </w:rPr>
        <w:t xml:space="preserve">, </w:t>
      </w:r>
      <w:r w:rsidRPr="002606DF">
        <w:rPr>
          <w:rFonts w:cs="GillSans-Light"/>
          <w:sz w:val="20"/>
          <w:szCs w:val="20"/>
          <w:lang w:val="pt-BR"/>
        </w:rPr>
        <w:t>v. 362,</w:t>
      </w:r>
      <w:r w:rsidR="00C96EA1" w:rsidRPr="002606DF">
        <w:rPr>
          <w:rFonts w:cs="GillSans-Light"/>
          <w:sz w:val="20"/>
          <w:szCs w:val="20"/>
          <w:lang w:val="pt-BR"/>
        </w:rPr>
        <w:t xml:space="preserve"> </w:t>
      </w:r>
      <w:r w:rsidRPr="002606DF">
        <w:rPr>
          <w:rFonts w:cs="GillSans-Light"/>
          <w:sz w:val="20"/>
          <w:szCs w:val="20"/>
          <w:lang w:val="pt-BR"/>
        </w:rPr>
        <w:t>p</w:t>
      </w:r>
      <w:r w:rsidR="00C96EA1" w:rsidRPr="002606DF">
        <w:rPr>
          <w:rFonts w:cs="GillSans-Light"/>
          <w:sz w:val="20"/>
          <w:szCs w:val="20"/>
          <w:lang w:val="pt-BR"/>
        </w:rPr>
        <w:t>. 159-185</w:t>
      </w:r>
      <w:r w:rsidRPr="002606DF">
        <w:rPr>
          <w:rFonts w:cs="GillSans-Light"/>
          <w:sz w:val="20"/>
          <w:szCs w:val="20"/>
          <w:lang w:val="pt-BR"/>
        </w:rPr>
        <w:t>, 2013.</w:t>
      </w:r>
    </w:p>
    <w:p w:rsidR="004A32E6" w:rsidRPr="002606DF" w:rsidRDefault="004A32E6" w:rsidP="00296B8E">
      <w:pPr>
        <w:autoSpaceDE w:val="0"/>
        <w:autoSpaceDN w:val="0"/>
        <w:adjustRightInd w:val="0"/>
        <w:spacing w:after="120" w:line="240" w:lineRule="auto"/>
        <w:rPr>
          <w:rFonts w:cs="TimesNewRomanPSMT"/>
          <w:sz w:val="20"/>
          <w:szCs w:val="20"/>
          <w:lang w:val="pt-BR"/>
        </w:rPr>
      </w:pPr>
      <w:r w:rsidRPr="002606DF">
        <w:rPr>
          <w:rFonts w:cs="TimesNewRomanPSMT"/>
          <w:sz w:val="20"/>
          <w:szCs w:val="20"/>
          <w:lang w:val="pt-BR"/>
        </w:rPr>
        <w:t xml:space="preserve">FORPROEX </w:t>
      </w:r>
      <w:r w:rsidRPr="002606DF">
        <w:rPr>
          <w:rFonts w:cs="Times#20New#20Roman"/>
          <w:sz w:val="20"/>
          <w:szCs w:val="20"/>
          <w:lang w:val="pt-BR"/>
        </w:rPr>
        <w:t xml:space="preserve">– </w:t>
      </w:r>
      <w:r w:rsidRPr="002606DF">
        <w:rPr>
          <w:rFonts w:cs="TimesNewRomanPSMT"/>
          <w:sz w:val="20"/>
          <w:szCs w:val="20"/>
          <w:lang w:val="pt-BR"/>
        </w:rPr>
        <w:t xml:space="preserve">Fórum dos Pró-reitores de Extensão das Universidades Públicas Brasileiras. </w:t>
      </w:r>
      <w:r w:rsidRPr="002606DF">
        <w:rPr>
          <w:b/>
          <w:sz w:val="20"/>
          <w:szCs w:val="20"/>
        </w:rPr>
        <w:t xml:space="preserve">O Plano Nacional de Extensão Universitária - </w:t>
      </w:r>
      <w:r w:rsidRPr="002606DF">
        <w:rPr>
          <w:sz w:val="20"/>
          <w:szCs w:val="20"/>
        </w:rPr>
        <w:t xml:space="preserve">Conceito de extensão, institucionalização e financiamento.  Brasília: FORPROEX, </w:t>
      </w:r>
      <w:r w:rsidRPr="002606DF">
        <w:rPr>
          <w:rFonts w:cs="TimesNewRomanPSMT"/>
          <w:sz w:val="20"/>
          <w:szCs w:val="20"/>
          <w:lang w:val="pt-BR"/>
        </w:rPr>
        <w:t>1987. Disponível em: &lt;</w:t>
      </w:r>
      <w:r w:rsidRPr="002606DF">
        <w:rPr>
          <w:sz w:val="20"/>
          <w:szCs w:val="20"/>
        </w:rPr>
        <w:t xml:space="preserve"> </w:t>
      </w:r>
      <w:hyperlink r:id="rId9" w:history="1">
        <w:r w:rsidRPr="002606DF">
          <w:rPr>
            <w:rStyle w:val="Hyperlink"/>
            <w:rFonts w:cs="TimesNewRomanPSMT"/>
            <w:sz w:val="20"/>
            <w:szCs w:val="20"/>
            <w:lang w:val="pt-BR"/>
          </w:rPr>
          <w:t>https://www.ufmg.br/proex/renex/documentos/Encontro-Nacional/1987-I-Encontro-Nacional-do-FORPROEX.pdf</w:t>
        </w:r>
      </w:hyperlink>
      <w:r w:rsidRPr="002606DF">
        <w:rPr>
          <w:rFonts w:cs="TimesNewRomanPSMT"/>
          <w:sz w:val="20"/>
          <w:szCs w:val="20"/>
          <w:lang w:val="pt-BR"/>
        </w:rPr>
        <w:t xml:space="preserve"> &gt; Acesso em: 4 fev. 2014.</w:t>
      </w:r>
      <w:r w:rsidRPr="002606DF">
        <w:rPr>
          <w:sz w:val="20"/>
          <w:szCs w:val="20"/>
        </w:rPr>
        <w:t xml:space="preserve"> Acesso em: 25 set. 2016.</w:t>
      </w:r>
    </w:p>
    <w:p w:rsidR="008F719C" w:rsidRPr="002606DF" w:rsidRDefault="00261734" w:rsidP="00296B8E">
      <w:pPr>
        <w:autoSpaceDE w:val="0"/>
        <w:autoSpaceDN w:val="0"/>
        <w:adjustRightInd w:val="0"/>
        <w:spacing w:after="120" w:line="240" w:lineRule="auto"/>
        <w:rPr>
          <w:rFonts w:cs="TimesNewRomanPSMT"/>
          <w:sz w:val="20"/>
          <w:szCs w:val="20"/>
          <w:lang w:val="pt-BR"/>
        </w:rPr>
      </w:pPr>
      <w:r w:rsidRPr="002606DF">
        <w:rPr>
          <w:rFonts w:cs="TimesNewRomanPSMT"/>
          <w:sz w:val="20"/>
          <w:szCs w:val="20"/>
          <w:lang w:val="pt-BR"/>
        </w:rPr>
        <w:t xml:space="preserve">FORPROEX </w:t>
      </w:r>
      <w:r w:rsidRPr="002606DF">
        <w:rPr>
          <w:rFonts w:cs="Times#20New#20Roman"/>
          <w:sz w:val="20"/>
          <w:szCs w:val="20"/>
          <w:lang w:val="pt-BR"/>
        </w:rPr>
        <w:t xml:space="preserve">– </w:t>
      </w:r>
      <w:r w:rsidR="00061AA1" w:rsidRPr="002606DF">
        <w:rPr>
          <w:rFonts w:cs="TimesNewRomanPSMT"/>
          <w:sz w:val="20"/>
          <w:szCs w:val="20"/>
          <w:lang w:val="pt-BR"/>
        </w:rPr>
        <w:t>Fórum dos Pró-R</w:t>
      </w:r>
      <w:r w:rsidRPr="002606DF">
        <w:rPr>
          <w:rFonts w:cs="TimesNewRomanPSMT"/>
          <w:sz w:val="20"/>
          <w:szCs w:val="20"/>
          <w:lang w:val="pt-BR"/>
        </w:rPr>
        <w:t xml:space="preserve">eitores de Extensão das Universidades Públicas Brasileiras. </w:t>
      </w:r>
      <w:r w:rsidRPr="002606DF">
        <w:rPr>
          <w:b/>
          <w:sz w:val="20"/>
          <w:szCs w:val="20"/>
        </w:rPr>
        <w:t>Política nacional de extensão universitária</w:t>
      </w:r>
      <w:r w:rsidRPr="002606DF">
        <w:rPr>
          <w:sz w:val="20"/>
          <w:szCs w:val="20"/>
        </w:rPr>
        <w:t>. Manaus: FORPROEX, 2012.</w:t>
      </w:r>
      <w:r w:rsidR="008F719C" w:rsidRPr="002606DF">
        <w:rPr>
          <w:rFonts w:cs="TimesNewRomanPSMT"/>
          <w:sz w:val="20"/>
          <w:szCs w:val="20"/>
          <w:lang w:val="pt-BR"/>
        </w:rPr>
        <w:t xml:space="preserve"> </w:t>
      </w:r>
      <w:r w:rsidRPr="002606DF">
        <w:rPr>
          <w:sz w:val="20"/>
          <w:szCs w:val="20"/>
        </w:rPr>
        <w:t xml:space="preserve">&lt; </w:t>
      </w:r>
      <w:hyperlink r:id="rId10" w:history="1">
        <w:r w:rsidRPr="002606DF">
          <w:rPr>
            <w:rStyle w:val="Hyperlink"/>
            <w:sz w:val="20"/>
            <w:szCs w:val="20"/>
          </w:rPr>
          <w:t>https://www.ufmg.br/proex/renex/documentos/2012-07-13-Politica-Nacional-de-Extensao.pdf</w:t>
        </w:r>
      </w:hyperlink>
      <w:r w:rsidRPr="002606DF">
        <w:rPr>
          <w:sz w:val="20"/>
          <w:szCs w:val="20"/>
        </w:rPr>
        <w:t xml:space="preserve"> &gt;</w:t>
      </w:r>
      <w:r w:rsidR="008F719C" w:rsidRPr="002606DF">
        <w:rPr>
          <w:sz w:val="20"/>
          <w:szCs w:val="20"/>
        </w:rPr>
        <w:t xml:space="preserve"> Acesso em: 25 set</w:t>
      </w:r>
      <w:r w:rsidR="005E5BAD" w:rsidRPr="002606DF">
        <w:rPr>
          <w:sz w:val="20"/>
          <w:szCs w:val="20"/>
        </w:rPr>
        <w:t>.</w:t>
      </w:r>
      <w:r w:rsidR="008F719C" w:rsidRPr="002606DF">
        <w:rPr>
          <w:sz w:val="20"/>
          <w:szCs w:val="20"/>
        </w:rPr>
        <w:t xml:space="preserve"> 2016.</w:t>
      </w:r>
    </w:p>
    <w:p w:rsidR="00B86573" w:rsidRPr="002606DF" w:rsidRDefault="00B86573" w:rsidP="00296B8E">
      <w:pPr>
        <w:autoSpaceDE w:val="0"/>
        <w:autoSpaceDN w:val="0"/>
        <w:adjustRightInd w:val="0"/>
        <w:spacing w:after="120" w:line="240" w:lineRule="auto"/>
        <w:rPr>
          <w:rFonts w:cs="TimesNewRomanPSMT"/>
          <w:sz w:val="20"/>
          <w:szCs w:val="20"/>
          <w:lang w:val="pt-BR"/>
        </w:rPr>
      </w:pPr>
      <w:r w:rsidRPr="002606DF">
        <w:rPr>
          <w:rFonts w:cs="TimesNewRomanPSMT"/>
          <w:sz w:val="20"/>
          <w:szCs w:val="20"/>
          <w:lang w:val="pt-BR"/>
        </w:rPr>
        <w:t xml:space="preserve">FREIRE, P. </w:t>
      </w:r>
      <w:r w:rsidRPr="002606DF">
        <w:rPr>
          <w:rFonts w:cs="TimesNewRomanPS-BoldMT"/>
          <w:b/>
          <w:bCs/>
          <w:sz w:val="20"/>
          <w:szCs w:val="20"/>
          <w:lang w:val="pt-BR"/>
        </w:rPr>
        <w:t xml:space="preserve">Extensão ou comunicação? </w:t>
      </w:r>
      <w:r w:rsidRPr="002606DF">
        <w:rPr>
          <w:rFonts w:cs="TimesNewRomanPSMT"/>
          <w:sz w:val="20"/>
          <w:szCs w:val="20"/>
          <w:lang w:val="pt-BR"/>
        </w:rPr>
        <w:t xml:space="preserve">Rio </w:t>
      </w:r>
      <w:r w:rsidR="00E42C84" w:rsidRPr="002606DF">
        <w:rPr>
          <w:rFonts w:cs="TimesNewRomanPSMT"/>
          <w:sz w:val="20"/>
          <w:szCs w:val="20"/>
          <w:lang w:val="pt-BR"/>
        </w:rPr>
        <w:t>de Janeiro: Paz e Terra, 1997. [</w:t>
      </w:r>
      <w:r w:rsidRPr="002606DF">
        <w:rPr>
          <w:rFonts w:cs="TimesNewRomanPSMT"/>
          <w:sz w:val="20"/>
          <w:szCs w:val="20"/>
          <w:lang w:val="pt-BR"/>
        </w:rPr>
        <w:t>Publicado</w:t>
      </w:r>
    </w:p>
    <w:p w:rsidR="00B86573" w:rsidRPr="002606DF" w:rsidRDefault="00B86573" w:rsidP="00296B8E">
      <w:pPr>
        <w:spacing w:after="120"/>
        <w:rPr>
          <w:rFonts w:cs="TimesNewRomanPSMT"/>
          <w:sz w:val="20"/>
          <w:szCs w:val="20"/>
          <w:lang w:val="pt-BR"/>
        </w:rPr>
      </w:pPr>
      <w:r w:rsidRPr="002606DF">
        <w:rPr>
          <w:rFonts w:cs="TimesNewRomanPSMT"/>
          <w:sz w:val="20"/>
          <w:szCs w:val="20"/>
          <w:lang w:val="pt-BR"/>
        </w:rPr>
        <w:t>originalmente em 1969, no Chile, sob o tí</w:t>
      </w:r>
      <w:r w:rsidR="00E42C84" w:rsidRPr="002606DF">
        <w:rPr>
          <w:rFonts w:cs="TimesNewRomanPSMT"/>
          <w:sz w:val="20"/>
          <w:szCs w:val="20"/>
          <w:lang w:val="pt-BR"/>
        </w:rPr>
        <w:t>tulo ¿Extensión o comunicación?]</w:t>
      </w:r>
      <w:r w:rsidRPr="002606DF">
        <w:rPr>
          <w:rFonts w:cs="TimesNewRomanPSMT"/>
          <w:sz w:val="20"/>
          <w:szCs w:val="20"/>
          <w:lang w:val="pt-BR"/>
        </w:rPr>
        <w:t>.</w:t>
      </w:r>
    </w:p>
    <w:p w:rsidR="00265B0F" w:rsidRPr="002606DF" w:rsidRDefault="008F719C" w:rsidP="00296B8E">
      <w:pPr>
        <w:spacing w:after="120"/>
        <w:rPr>
          <w:rFonts w:cs="TimesNewRomanPSMT"/>
          <w:sz w:val="20"/>
          <w:szCs w:val="20"/>
          <w:lang w:val="pt-BR"/>
        </w:rPr>
      </w:pPr>
      <w:r w:rsidRPr="002606DF">
        <w:rPr>
          <w:rFonts w:cs="TimesNewRomanPSMT"/>
          <w:sz w:val="20"/>
          <w:szCs w:val="20"/>
          <w:lang w:val="pt-BR"/>
        </w:rPr>
        <w:t xml:space="preserve">FREIRE, P. </w:t>
      </w:r>
      <w:r w:rsidRPr="002606DF">
        <w:rPr>
          <w:rFonts w:cs="TimesNewRomanPSMT"/>
          <w:b/>
          <w:sz w:val="20"/>
          <w:szCs w:val="20"/>
          <w:lang w:val="pt-BR"/>
        </w:rPr>
        <w:t>Pedagogia do oprimido</w:t>
      </w:r>
      <w:r w:rsidRPr="002606DF">
        <w:rPr>
          <w:rFonts w:cs="TimesNewRomanPSMT"/>
          <w:sz w:val="20"/>
          <w:szCs w:val="20"/>
          <w:lang w:val="pt-BR"/>
        </w:rPr>
        <w:t xml:space="preserve">. </w:t>
      </w:r>
      <w:r w:rsidR="005E5BAD" w:rsidRPr="002606DF">
        <w:rPr>
          <w:rFonts w:cs="TimesNewRomanPSMT"/>
          <w:sz w:val="20"/>
          <w:szCs w:val="20"/>
          <w:lang w:val="pt-BR"/>
        </w:rPr>
        <w:t>50. ed., Ri</w:t>
      </w:r>
      <w:r w:rsidR="00801430" w:rsidRPr="002606DF">
        <w:rPr>
          <w:rFonts w:cs="TimesNewRomanPSMT"/>
          <w:sz w:val="20"/>
          <w:szCs w:val="20"/>
          <w:lang w:val="pt-BR"/>
        </w:rPr>
        <w:t>o</w:t>
      </w:r>
      <w:r w:rsidR="005E5BAD" w:rsidRPr="002606DF">
        <w:rPr>
          <w:rFonts w:cs="TimesNewRomanPSMT"/>
          <w:sz w:val="20"/>
          <w:szCs w:val="20"/>
          <w:lang w:val="pt-BR"/>
        </w:rPr>
        <w:t xml:space="preserve"> de Janeiro: Paz e Terra, 2011</w:t>
      </w:r>
      <w:r w:rsidR="00D67E51" w:rsidRPr="002606DF">
        <w:rPr>
          <w:rFonts w:cs="TimesNewRomanPSMT"/>
          <w:sz w:val="20"/>
          <w:szCs w:val="20"/>
          <w:lang w:val="pt-BR"/>
        </w:rPr>
        <w:t xml:space="preserve"> [1967]</w:t>
      </w:r>
      <w:r w:rsidR="005E5BAD" w:rsidRPr="002606DF">
        <w:rPr>
          <w:rFonts w:cs="TimesNewRomanPSMT"/>
          <w:sz w:val="20"/>
          <w:szCs w:val="20"/>
          <w:lang w:val="pt-BR"/>
        </w:rPr>
        <w:t>.</w:t>
      </w:r>
    </w:p>
    <w:p w:rsidR="001A36D6" w:rsidRPr="002606DF" w:rsidRDefault="00061AA1" w:rsidP="00296B8E">
      <w:pPr>
        <w:spacing w:after="120"/>
        <w:rPr>
          <w:rFonts w:cs="Times New Roman"/>
          <w:sz w:val="20"/>
          <w:szCs w:val="20"/>
        </w:rPr>
      </w:pPr>
      <w:r w:rsidRPr="002606DF">
        <w:rPr>
          <w:rFonts w:cs="Times New Roman"/>
          <w:sz w:val="20"/>
          <w:szCs w:val="20"/>
        </w:rPr>
        <w:t>FURCO</w:t>
      </w:r>
      <w:r w:rsidR="00F5570B" w:rsidRPr="002606DF">
        <w:rPr>
          <w:rFonts w:cs="Times New Roman"/>
          <w:sz w:val="20"/>
          <w:szCs w:val="20"/>
        </w:rPr>
        <w:t>, A.</w:t>
      </w:r>
      <w:r w:rsidR="00265B0F" w:rsidRPr="002606DF">
        <w:rPr>
          <w:rFonts w:cs="Times New Roman"/>
          <w:sz w:val="20"/>
          <w:szCs w:val="20"/>
        </w:rPr>
        <w:t xml:space="preserve"> Issues of definition and program diversity in the study of service-learning.</w:t>
      </w:r>
      <w:r w:rsidR="00265B0F" w:rsidRPr="002606DF">
        <w:rPr>
          <w:rStyle w:val="apple-converted-space"/>
          <w:rFonts w:cs="Times New Roman"/>
          <w:sz w:val="20"/>
          <w:szCs w:val="20"/>
        </w:rPr>
        <w:t xml:space="preserve"> In: </w:t>
      </w:r>
      <w:r w:rsidR="00591F2A" w:rsidRPr="002606DF">
        <w:rPr>
          <w:rFonts w:cs="Times New Roman"/>
          <w:sz w:val="20"/>
          <w:szCs w:val="20"/>
        </w:rPr>
        <w:t>BILLIG, S. H.; WATERMAN, A. S.</w:t>
      </w:r>
      <w:r w:rsidR="00265B0F" w:rsidRPr="002606DF">
        <w:rPr>
          <w:rFonts w:cs="Times New Roman"/>
          <w:sz w:val="20"/>
          <w:szCs w:val="20"/>
        </w:rPr>
        <w:t xml:space="preserve"> (Eds.)</w:t>
      </w:r>
      <w:r w:rsidR="00265B0F" w:rsidRPr="002606DF">
        <w:rPr>
          <w:rFonts w:cs="Times New Roman"/>
          <w:i/>
          <w:iCs/>
          <w:sz w:val="20"/>
          <w:szCs w:val="20"/>
        </w:rPr>
        <w:t xml:space="preserve"> </w:t>
      </w:r>
      <w:r w:rsidR="00265B0F" w:rsidRPr="002606DF">
        <w:rPr>
          <w:rFonts w:cs="Times New Roman"/>
          <w:b/>
          <w:iCs/>
          <w:sz w:val="20"/>
          <w:szCs w:val="20"/>
        </w:rPr>
        <w:t>Studying service-learning</w:t>
      </w:r>
      <w:r w:rsidR="00265B0F" w:rsidRPr="002606DF">
        <w:rPr>
          <w:rFonts w:cs="Times New Roman"/>
          <w:iCs/>
          <w:sz w:val="20"/>
          <w:szCs w:val="20"/>
        </w:rPr>
        <w:t>: Innovations in education research methodology</w:t>
      </w:r>
      <w:r w:rsidR="00265B0F" w:rsidRPr="002606DF">
        <w:rPr>
          <w:rFonts w:cs="Times New Roman"/>
          <w:sz w:val="20"/>
          <w:szCs w:val="20"/>
        </w:rPr>
        <w:t>. Mahvah (EUA): Lawrence Erlbaum</w:t>
      </w:r>
      <w:r w:rsidRPr="002606DF">
        <w:rPr>
          <w:rFonts w:cs="Times New Roman"/>
          <w:sz w:val="20"/>
          <w:szCs w:val="20"/>
        </w:rPr>
        <w:t>,</w:t>
      </w:r>
      <w:r w:rsidR="00265B0F" w:rsidRPr="002606DF">
        <w:rPr>
          <w:rFonts w:cs="Times New Roman"/>
          <w:sz w:val="20"/>
          <w:szCs w:val="20"/>
        </w:rPr>
        <w:t xml:space="preserve"> p. 13-33</w:t>
      </w:r>
      <w:r w:rsidR="00BB6F6E" w:rsidRPr="002606DF">
        <w:rPr>
          <w:rFonts w:cs="Times New Roman"/>
          <w:sz w:val="20"/>
          <w:szCs w:val="20"/>
        </w:rPr>
        <w:t>, 2003.</w:t>
      </w:r>
    </w:p>
    <w:p w:rsidR="0095188C" w:rsidRPr="002606DF" w:rsidRDefault="0006258E" w:rsidP="00296B8E">
      <w:pPr>
        <w:spacing w:after="120"/>
        <w:rPr>
          <w:rFonts w:cs="Times New Roman"/>
          <w:sz w:val="20"/>
          <w:szCs w:val="20"/>
          <w:lang w:val="pt-BR"/>
        </w:rPr>
      </w:pPr>
      <w:r w:rsidRPr="002606DF">
        <w:rPr>
          <w:sz w:val="20"/>
          <w:szCs w:val="20"/>
          <w:lang w:val="pt-BR"/>
        </w:rPr>
        <w:t>GIRAUDO, C.; VERGERIO</w:t>
      </w:r>
      <w:r w:rsidR="0095188C" w:rsidRPr="002606DF">
        <w:rPr>
          <w:sz w:val="20"/>
          <w:szCs w:val="20"/>
          <w:lang w:val="pt-BR"/>
        </w:rPr>
        <w:t>,</w:t>
      </w:r>
      <w:r w:rsidR="00801430" w:rsidRPr="002606DF">
        <w:rPr>
          <w:sz w:val="20"/>
          <w:szCs w:val="20"/>
          <w:lang w:val="pt-BR"/>
        </w:rPr>
        <w:t xml:space="preserve"> G</w:t>
      </w:r>
      <w:r w:rsidR="0095188C" w:rsidRPr="002606DF">
        <w:rPr>
          <w:sz w:val="20"/>
          <w:szCs w:val="20"/>
          <w:lang w:val="pt-BR"/>
        </w:rPr>
        <w:t>.</w:t>
      </w:r>
      <w:r w:rsidR="001A36D6" w:rsidRPr="002606DF">
        <w:rPr>
          <w:sz w:val="20"/>
          <w:szCs w:val="20"/>
        </w:rPr>
        <w:t xml:space="preserve"> </w:t>
      </w:r>
      <w:r w:rsidR="001A36D6" w:rsidRPr="002606DF">
        <w:rPr>
          <w:rFonts w:cs="Arial"/>
          <w:bCs/>
          <w:color w:val="000000"/>
          <w:sz w:val="20"/>
          <w:szCs w:val="20"/>
          <w:lang w:val="pt-BR"/>
        </w:rPr>
        <w:t>La extensión universitaria: en busca del saber, del conocimiento colectivo y la construcción de la demanda</w:t>
      </w:r>
      <w:r w:rsidR="001A36D6" w:rsidRPr="002606DF">
        <w:rPr>
          <w:rFonts w:cs="Arial"/>
          <w:bCs/>
          <w:sz w:val="20"/>
          <w:szCs w:val="20"/>
        </w:rPr>
        <w:t xml:space="preserve">. </w:t>
      </w:r>
      <w:r w:rsidR="001A36D6" w:rsidRPr="002606DF">
        <w:rPr>
          <w:rFonts w:cs="Arial"/>
          <w:b/>
          <w:bCs/>
          <w:sz w:val="20"/>
          <w:szCs w:val="20"/>
        </w:rPr>
        <w:t>Revista ExT</w:t>
      </w:r>
      <w:r w:rsidR="001A36D6" w:rsidRPr="002606DF">
        <w:rPr>
          <w:rFonts w:cs="Arial"/>
          <w:bCs/>
          <w:sz w:val="20"/>
          <w:szCs w:val="20"/>
        </w:rPr>
        <w:t xml:space="preserve">, </w:t>
      </w:r>
      <w:r w:rsidR="004165BD" w:rsidRPr="002606DF">
        <w:rPr>
          <w:rFonts w:cs="Arial"/>
          <w:bCs/>
          <w:sz w:val="20"/>
          <w:szCs w:val="20"/>
        </w:rPr>
        <w:t>n. 7, p. 1-19</w:t>
      </w:r>
      <w:r w:rsidR="00801430" w:rsidRPr="002606DF">
        <w:rPr>
          <w:rFonts w:cs="Arial"/>
          <w:bCs/>
          <w:sz w:val="20"/>
          <w:szCs w:val="20"/>
        </w:rPr>
        <w:t xml:space="preserve">, </w:t>
      </w:r>
      <w:r w:rsidR="00801430" w:rsidRPr="002606DF">
        <w:rPr>
          <w:sz w:val="20"/>
          <w:szCs w:val="20"/>
          <w:lang w:val="pt-BR"/>
        </w:rPr>
        <w:t>2016</w:t>
      </w:r>
      <w:r w:rsidR="001A36D6" w:rsidRPr="002606DF">
        <w:rPr>
          <w:rFonts w:cs="Arial"/>
          <w:bCs/>
          <w:sz w:val="20"/>
          <w:szCs w:val="20"/>
        </w:rPr>
        <w:t>.</w:t>
      </w:r>
    </w:p>
    <w:p w:rsidR="003222D2" w:rsidRPr="002606DF" w:rsidRDefault="003222D2" w:rsidP="00296B8E">
      <w:pPr>
        <w:spacing w:after="120"/>
        <w:rPr>
          <w:rFonts w:cs="Arial"/>
          <w:sz w:val="20"/>
          <w:szCs w:val="20"/>
        </w:rPr>
      </w:pPr>
      <w:r w:rsidRPr="002606DF">
        <w:rPr>
          <w:rFonts w:cs="Arial"/>
          <w:sz w:val="20"/>
          <w:szCs w:val="20"/>
        </w:rPr>
        <w:lastRenderedPageBreak/>
        <w:t xml:space="preserve">GURGEL, M. R. </w:t>
      </w:r>
      <w:r w:rsidRPr="002606DF">
        <w:rPr>
          <w:rFonts w:cs="Arial"/>
          <w:b/>
          <w:sz w:val="20"/>
          <w:szCs w:val="20"/>
        </w:rPr>
        <w:t>Extensão Universitária</w:t>
      </w:r>
      <w:r w:rsidRPr="002606DF">
        <w:rPr>
          <w:rFonts w:cs="Arial"/>
          <w:sz w:val="20"/>
          <w:szCs w:val="20"/>
        </w:rPr>
        <w:t>: Comunicação ou Domesticação? São Paulo: Cortez Autores Associados. Fortaleza: Universidade Federal do Ceará, 1986.</w:t>
      </w:r>
    </w:p>
    <w:p w:rsidR="00881D7E" w:rsidRPr="002606DF" w:rsidRDefault="00591F2A" w:rsidP="00296B8E">
      <w:pPr>
        <w:spacing w:after="120"/>
        <w:rPr>
          <w:rFonts w:cs="Arial"/>
          <w:sz w:val="20"/>
          <w:szCs w:val="20"/>
          <w:shd w:val="clear" w:color="auto" w:fill="FFFFFF"/>
        </w:rPr>
      </w:pPr>
      <w:r w:rsidRPr="002606DF">
        <w:rPr>
          <w:rFonts w:cs="Arial"/>
          <w:sz w:val="20"/>
          <w:szCs w:val="20"/>
        </w:rPr>
        <w:t>HÉBERT, A.;</w:t>
      </w:r>
      <w:r w:rsidR="00F5570B" w:rsidRPr="002606DF">
        <w:rPr>
          <w:rFonts w:cs="Arial"/>
          <w:sz w:val="20"/>
          <w:szCs w:val="20"/>
        </w:rPr>
        <w:t xml:space="preserve"> HAUF, P.</w:t>
      </w:r>
      <w:r w:rsidR="00881D7E" w:rsidRPr="002606DF">
        <w:rPr>
          <w:rFonts w:cs="Arial"/>
          <w:sz w:val="20"/>
          <w:szCs w:val="20"/>
        </w:rPr>
        <w:t xml:space="preserve"> Student learning through service learning: Effects on academic development, civic responsibility, interpersonal skills and practical skills.</w:t>
      </w:r>
      <w:r w:rsidR="00881D7E" w:rsidRPr="002606DF">
        <w:rPr>
          <w:rStyle w:val="apple-converted-space"/>
          <w:rFonts w:cs="Arial"/>
          <w:sz w:val="20"/>
          <w:szCs w:val="20"/>
        </w:rPr>
        <w:t> </w:t>
      </w:r>
      <w:r w:rsidR="00881D7E" w:rsidRPr="002606DF">
        <w:rPr>
          <w:rFonts w:cs="Arial"/>
          <w:b/>
          <w:iCs/>
          <w:sz w:val="20"/>
          <w:szCs w:val="20"/>
        </w:rPr>
        <w:t>Active Learning in Higher Education</w:t>
      </w:r>
      <w:r w:rsidR="00881D7E" w:rsidRPr="002606DF">
        <w:rPr>
          <w:rFonts w:cs="Arial"/>
          <w:sz w:val="20"/>
          <w:szCs w:val="20"/>
        </w:rPr>
        <w:t>,</w:t>
      </w:r>
      <w:r w:rsidR="00881D7E" w:rsidRPr="002606DF">
        <w:rPr>
          <w:rStyle w:val="apple-converted-space"/>
          <w:rFonts w:cs="Arial"/>
          <w:sz w:val="20"/>
          <w:szCs w:val="20"/>
        </w:rPr>
        <w:t> </w:t>
      </w:r>
      <w:r w:rsidRPr="002606DF">
        <w:rPr>
          <w:rStyle w:val="apple-converted-space"/>
          <w:rFonts w:cs="Arial"/>
          <w:sz w:val="20"/>
          <w:szCs w:val="20"/>
        </w:rPr>
        <w:t xml:space="preserve">v. </w:t>
      </w:r>
      <w:r w:rsidR="00881D7E" w:rsidRPr="002606DF">
        <w:rPr>
          <w:rFonts w:cs="Arial"/>
          <w:iCs/>
          <w:sz w:val="20"/>
          <w:szCs w:val="20"/>
        </w:rPr>
        <w:t>16</w:t>
      </w:r>
      <w:r w:rsidRPr="002606DF">
        <w:rPr>
          <w:rFonts w:cs="Arial"/>
          <w:iCs/>
          <w:sz w:val="20"/>
          <w:szCs w:val="20"/>
        </w:rPr>
        <w:t xml:space="preserve">, n. </w:t>
      </w:r>
      <w:r w:rsidRPr="002606DF">
        <w:rPr>
          <w:rFonts w:cs="Arial"/>
          <w:sz w:val="20"/>
          <w:szCs w:val="20"/>
        </w:rPr>
        <w:t>1</w:t>
      </w:r>
      <w:r w:rsidR="00881D7E" w:rsidRPr="002606DF">
        <w:rPr>
          <w:rFonts w:cs="Arial"/>
          <w:sz w:val="20"/>
          <w:szCs w:val="20"/>
        </w:rPr>
        <w:t xml:space="preserve">, </w:t>
      </w:r>
      <w:r w:rsidRPr="002606DF">
        <w:rPr>
          <w:rFonts w:cs="Arial"/>
          <w:sz w:val="20"/>
          <w:szCs w:val="20"/>
        </w:rPr>
        <w:t xml:space="preserve">p. </w:t>
      </w:r>
      <w:r w:rsidR="00881D7E" w:rsidRPr="002606DF">
        <w:rPr>
          <w:rFonts w:cs="Arial"/>
          <w:sz w:val="20"/>
          <w:szCs w:val="20"/>
        </w:rPr>
        <w:t>37-49</w:t>
      </w:r>
      <w:r w:rsidR="00801430" w:rsidRPr="002606DF">
        <w:rPr>
          <w:rFonts w:cs="Arial"/>
          <w:sz w:val="20"/>
          <w:szCs w:val="20"/>
        </w:rPr>
        <w:t>, 2015</w:t>
      </w:r>
      <w:r w:rsidR="00881D7E" w:rsidRPr="002606DF">
        <w:rPr>
          <w:rFonts w:cs="Arial"/>
          <w:sz w:val="20"/>
          <w:szCs w:val="20"/>
        </w:rPr>
        <w:t>.</w:t>
      </w:r>
    </w:p>
    <w:p w:rsidR="00E63B95" w:rsidRPr="002606DF" w:rsidRDefault="00591F2A" w:rsidP="00296B8E">
      <w:pPr>
        <w:spacing w:after="120"/>
        <w:rPr>
          <w:sz w:val="20"/>
          <w:szCs w:val="20"/>
        </w:rPr>
      </w:pPr>
      <w:r w:rsidRPr="002606DF">
        <w:rPr>
          <w:sz w:val="20"/>
          <w:szCs w:val="20"/>
        </w:rPr>
        <w:t>HOWARD, J.</w:t>
      </w:r>
      <w:r w:rsidR="007F40BE" w:rsidRPr="002606DF">
        <w:rPr>
          <w:sz w:val="20"/>
          <w:szCs w:val="20"/>
        </w:rPr>
        <w:t xml:space="preserve"> </w:t>
      </w:r>
      <w:r w:rsidR="00E63B95" w:rsidRPr="002606DF">
        <w:rPr>
          <w:sz w:val="20"/>
          <w:szCs w:val="20"/>
        </w:rPr>
        <w:t xml:space="preserve">Service-learning research: foundational issues. In: </w:t>
      </w:r>
      <w:r w:rsidRPr="002606DF">
        <w:rPr>
          <w:rFonts w:cs="Times New Roman"/>
          <w:sz w:val="20"/>
          <w:szCs w:val="20"/>
        </w:rPr>
        <w:t xml:space="preserve">BILLIG, S. H.; WATERMAN, A. S. </w:t>
      </w:r>
      <w:r w:rsidR="00E63B95" w:rsidRPr="002606DF">
        <w:rPr>
          <w:rFonts w:cs="Times New Roman"/>
          <w:sz w:val="20"/>
          <w:szCs w:val="20"/>
        </w:rPr>
        <w:t>(Eds.)</w:t>
      </w:r>
      <w:r w:rsidR="00E63B95" w:rsidRPr="002606DF">
        <w:rPr>
          <w:rFonts w:cs="Times New Roman"/>
          <w:i/>
          <w:iCs/>
          <w:sz w:val="20"/>
          <w:szCs w:val="20"/>
        </w:rPr>
        <w:t xml:space="preserve"> </w:t>
      </w:r>
      <w:r w:rsidR="00E63B95" w:rsidRPr="002606DF">
        <w:rPr>
          <w:rFonts w:cs="Times New Roman"/>
          <w:b/>
          <w:iCs/>
          <w:sz w:val="20"/>
          <w:szCs w:val="20"/>
        </w:rPr>
        <w:t>Studying service-learning</w:t>
      </w:r>
      <w:r w:rsidR="00E63B95" w:rsidRPr="002606DF">
        <w:rPr>
          <w:rFonts w:cs="Times New Roman"/>
          <w:iCs/>
          <w:sz w:val="20"/>
          <w:szCs w:val="20"/>
        </w:rPr>
        <w:t>: Innovations in education research methodology</w:t>
      </w:r>
      <w:r w:rsidR="00E63B95" w:rsidRPr="002606DF">
        <w:rPr>
          <w:rFonts w:cs="Times New Roman"/>
          <w:sz w:val="20"/>
          <w:szCs w:val="20"/>
        </w:rPr>
        <w:t>. Mahvah (EUA): Lawre</w:t>
      </w:r>
      <w:r w:rsidR="007F40BE" w:rsidRPr="002606DF">
        <w:rPr>
          <w:rFonts w:cs="Times New Roman"/>
          <w:sz w:val="20"/>
          <w:szCs w:val="20"/>
        </w:rPr>
        <w:t>nce Erlbaum,</w:t>
      </w:r>
      <w:r w:rsidR="00E63B95" w:rsidRPr="002606DF">
        <w:rPr>
          <w:rFonts w:cs="Times New Roman"/>
          <w:sz w:val="20"/>
          <w:szCs w:val="20"/>
        </w:rPr>
        <w:t xml:space="preserve"> p. 1-12</w:t>
      </w:r>
      <w:r w:rsidRPr="002606DF">
        <w:rPr>
          <w:rFonts w:cs="Times New Roman"/>
          <w:sz w:val="20"/>
          <w:szCs w:val="20"/>
        </w:rPr>
        <w:t xml:space="preserve">, </w:t>
      </w:r>
      <w:r w:rsidR="00870D28" w:rsidRPr="002606DF">
        <w:rPr>
          <w:sz w:val="20"/>
          <w:szCs w:val="20"/>
        </w:rPr>
        <w:t>2014</w:t>
      </w:r>
      <w:r w:rsidR="00E63B95" w:rsidRPr="002606DF">
        <w:rPr>
          <w:rFonts w:cs="Times New Roman"/>
          <w:sz w:val="20"/>
          <w:szCs w:val="20"/>
        </w:rPr>
        <w:t>.</w:t>
      </w:r>
    </w:p>
    <w:p w:rsidR="00D67E51" w:rsidRPr="002606DF" w:rsidRDefault="00E42C84" w:rsidP="00296B8E">
      <w:pPr>
        <w:spacing w:after="120"/>
        <w:rPr>
          <w:rFonts w:cs="Arial"/>
          <w:sz w:val="20"/>
          <w:szCs w:val="20"/>
          <w:shd w:val="clear" w:color="auto" w:fill="FFFFFF"/>
        </w:rPr>
      </w:pPr>
      <w:r w:rsidRPr="002606DF">
        <w:rPr>
          <w:rFonts w:cs="Arial"/>
          <w:sz w:val="20"/>
          <w:szCs w:val="20"/>
        </w:rPr>
        <w:t>IBARROLA-GARCÍA, S.; GARDE, R</w:t>
      </w:r>
      <w:r w:rsidR="00591F2A" w:rsidRPr="002606DF">
        <w:rPr>
          <w:rFonts w:cs="Arial"/>
          <w:sz w:val="20"/>
          <w:szCs w:val="20"/>
        </w:rPr>
        <w:t>. A.</w:t>
      </w:r>
      <w:r w:rsidR="00D67E51" w:rsidRPr="002606DF">
        <w:rPr>
          <w:rFonts w:cs="Arial"/>
          <w:sz w:val="20"/>
          <w:szCs w:val="20"/>
        </w:rPr>
        <w:t xml:space="preserve"> La docencia en la universidad y el compromiso social y educativo.</w:t>
      </w:r>
      <w:r w:rsidR="00D67E51" w:rsidRPr="002606DF">
        <w:rPr>
          <w:rStyle w:val="apple-converted-space"/>
          <w:rFonts w:cs="Arial"/>
          <w:sz w:val="20"/>
          <w:szCs w:val="20"/>
        </w:rPr>
        <w:t> </w:t>
      </w:r>
      <w:r w:rsidR="00D67E51" w:rsidRPr="002606DF">
        <w:rPr>
          <w:rFonts w:cs="Arial"/>
          <w:b/>
          <w:iCs/>
          <w:sz w:val="20"/>
          <w:szCs w:val="20"/>
        </w:rPr>
        <w:t>Contextos Educativos</w:t>
      </w:r>
      <w:r w:rsidR="00D67E51" w:rsidRPr="002606DF">
        <w:rPr>
          <w:rFonts w:cs="Arial"/>
          <w:sz w:val="20"/>
          <w:szCs w:val="20"/>
        </w:rPr>
        <w:t>,</w:t>
      </w:r>
      <w:r w:rsidR="00D67E51" w:rsidRPr="002606DF">
        <w:rPr>
          <w:rStyle w:val="apple-converted-space"/>
          <w:rFonts w:cs="Arial"/>
          <w:sz w:val="20"/>
          <w:szCs w:val="20"/>
        </w:rPr>
        <w:t xml:space="preserve"> v. </w:t>
      </w:r>
      <w:r w:rsidR="00D67E51" w:rsidRPr="002606DF">
        <w:rPr>
          <w:rFonts w:cs="Arial"/>
          <w:iCs/>
          <w:sz w:val="20"/>
          <w:szCs w:val="20"/>
        </w:rPr>
        <w:t>19, p. 105-120</w:t>
      </w:r>
      <w:r w:rsidR="00591F2A" w:rsidRPr="002606DF">
        <w:rPr>
          <w:rFonts w:cs="Arial"/>
          <w:iCs/>
          <w:sz w:val="20"/>
          <w:szCs w:val="20"/>
        </w:rPr>
        <w:t xml:space="preserve">, </w:t>
      </w:r>
      <w:r w:rsidR="00591F2A" w:rsidRPr="002606DF">
        <w:rPr>
          <w:rFonts w:cs="Arial"/>
          <w:sz w:val="20"/>
          <w:szCs w:val="20"/>
        </w:rPr>
        <w:t>2016</w:t>
      </w:r>
      <w:r w:rsidR="00D67E51" w:rsidRPr="002606DF">
        <w:rPr>
          <w:rFonts w:cs="Arial"/>
          <w:sz w:val="20"/>
          <w:szCs w:val="20"/>
        </w:rPr>
        <w:t>.</w:t>
      </w:r>
    </w:p>
    <w:p w:rsidR="00100B32" w:rsidRPr="002606DF" w:rsidRDefault="00100B32" w:rsidP="00296B8E">
      <w:pPr>
        <w:spacing w:after="120"/>
        <w:rPr>
          <w:sz w:val="20"/>
          <w:szCs w:val="20"/>
        </w:rPr>
      </w:pPr>
      <w:r w:rsidRPr="002606DF">
        <w:rPr>
          <w:sz w:val="20"/>
          <w:szCs w:val="20"/>
        </w:rPr>
        <w:t xml:space="preserve">IMPERATORE, S. L. B; PEDDE, V; IMPERATORE, J. L. R. Curricularizar a extensão ou extensionalizar o currículo? Aportes teóricos e práticas de integração curricular da extensão ante a estratégia 12.7 do PNE. In: COLÓQUIO INTERNACIONAL DE GESTÃO UNIVERSITÁRIA – CIGU, 15, 2015, Mar del Plata, Argentina. </w:t>
      </w:r>
      <w:r w:rsidRPr="002606DF">
        <w:rPr>
          <w:b/>
          <w:sz w:val="20"/>
          <w:szCs w:val="20"/>
        </w:rPr>
        <w:t xml:space="preserve">Anais... </w:t>
      </w:r>
      <w:r w:rsidRPr="002606DF">
        <w:rPr>
          <w:sz w:val="20"/>
          <w:szCs w:val="20"/>
        </w:rPr>
        <w:t xml:space="preserve">Mar del Plata: INPEAU/UFSC, 2015.  Disponível em: &lt; </w:t>
      </w:r>
      <w:hyperlink r:id="rId11" w:history="1">
        <w:r w:rsidRPr="002606DF">
          <w:rPr>
            <w:rStyle w:val="Hyperlink"/>
            <w:sz w:val="20"/>
            <w:szCs w:val="20"/>
          </w:rPr>
          <w:t>https://repositorio.ufsc.br/bitstream/handle/123456789/136064/101_00175.pdf?sequence=1&amp;isAllowed=y</w:t>
        </w:r>
      </w:hyperlink>
      <w:r w:rsidRPr="002606DF">
        <w:rPr>
          <w:sz w:val="20"/>
          <w:szCs w:val="20"/>
        </w:rPr>
        <w:t xml:space="preserve"> &gt;. Acesso em: 27 set. 2016.</w:t>
      </w:r>
    </w:p>
    <w:p w:rsidR="008F719C" w:rsidRPr="002606DF" w:rsidRDefault="008F719C" w:rsidP="00296B8E">
      <w:pPr>
        <w:spacing w:after="120"/>
        <w:rPr>
          <w:rFonts w:cs="Arial"/>
          <w:sz w:val="20"/>
          <w:szCs w:val="20"/>
          <w:shd w:val="clear" w:color="auto" w:fill="FFFFFF"/>
        </w:rPr>
      </w:pPr>
      <w:r w:rsidRPr="002606DF">
        <w:rPr>
          <w:sz w:val="20"/>
          <w:szCs w:val="20"/>
        </w:rPr>
        <w:t xml:space="preserve">JEZINE, E. As Práticas Curriculares e a Extensão Universitária. In: CONGRESSO BRASILEIRO DE EXTENSÃO UNIVERSITÁRIA, 2, 2004, Belo Horizonte. </w:t>
      </w:r>
      <w:r w:rsidRPr="002606DF">
        <w:rPr>
          <w:b/>
          <w:sz w:val="20"/>
          <w:szCs w:val="20"/>
        </w:rPr>
        <w:t>Anais</w:t>
      </w:r>
      <w:r w:rsidRPr="002606DF">
        <w:rPr>
          <w:i/>
          <w:sz w:val="20"/>
          <w:szCs w:val="20"/>
        </w:rPr>
        <w:t>...</w:t>
      </w:r>
      <w:r w:rsidRPr="002606DF">
        <w:rPr>
          <w:sz w:val="20"/>
          <w:szCs w:val="20"/>
        </w:rPr>
        <w:t xml:space="preserve"> Belo Horizonte: UFMG, 2004. Disponível em:</w:t>
      </w:r>
      <w:r w:rsidR="005E5BAD" w:rsidRPr="002606DF">
        <w:rPr>
          <w:sz w:val="20"/>
          <w:szCs w:val="20"/>
        </w:rPr>
        <w:t xml:space="preserve"> </w:t>
      </w:r>
      <w:r w:rsidRPr="002606DF">
        <w:rPr>
          <w:sz w:val="20"/>
          <w:szCs w:val="20"/>
        </w:rPr>
        <w:t>&lt;</w:t>
      </w:r>
      <w:r w:rsidR="005E5BAD" w:rsidRPr="002606DF">
        <w:rPr>
          <w:sz w:val="20"/>
          <w:szCs w:val="20"/>
        </w:rPr>
        <w:t xml:space="preserve"> </w:t>
      </w:r>
      <w:hyperlink r:id="rId12" w:history="1">
        <w:r w:rsidRPr="002606DF">
          <w:rPr>
            <w:rStyle w:val="Hyperlink"/>
            <w:sz w:val="20"/>
            <w:szCs w:val="20"/>
          </w:rPr>
          <w:t>https://www.ufmg.br/congrext/Gestao/Gestao12.pdf</w:t>
        </w:r>
      </w:hyperlink>
      <w:r w:rsidR="00BB6F6E" w:rsidRPr="002606DF">
        <w:rPr>
          <w:sz w:val="20"/>
          <w:szCs w:val="20"/>
        </w:rPr>
        <w:t xml:space="preserve">  &gt;</w:t>
      </w:r>
      <w:r w:rsidRPr="002606DF">
        <w:rPr>
          <w:sz w:val="20"/>
          <w:szCs w:val="20"/>
        </w:rPr>
        <w:t xml:space="preserve"> Acesso em: </w:t>
      </w:r>
      <w:r w:rsidR="005E5BAD" w:rsidRPr="002606DF">
        <w:rPr>
          <w:sz w:val="20"/>
          <w:szCs w:val="20"/>
        </w:rPr>
        <w:t>25 set. 2016</w:t>
      </w:r>
      <w:r w:rsidRPr="002606DF">
        <w:rPr>
          <w:sz w:val="20"/>
          <w:szCs w:val="20"/>
        </w:rPr>
        <w:t>.</w:t>
      </w:r>
    </w:p>
    <w:p w:rsidR="003222D2" w:rsidRPr="002606DF" w:rsidRDefault="003222D2" w:rsidP="00296B8E">
      <w:pPr>
        <w:spacing w:after="120"/>
        <w:rPr>
          <w:rFonts w:cs="Arial"/>
          <w:sz w:val="20"/>
          <w:szCs w:val="20"/>
          <w:lang w:val="pt-BR"/>
        </w:rPr>
      </w:pPr>
      <w:r w:rsidRPr="002606DF">
        <w:rPr>
          <w:rFonts w:cs="Arial"/>
          <w:sz w:val="20"/>
          <w:szCs w:val="20"/>
          <w:lang w:val="pt-BR"/>
        </w:rPr>
        <w:t>KARJALAINEN, A.; ALHA, K.;</w:t>
      </w:r>
      <w:r w:rsidR="00F5570B" w:rsidRPr="002606DF">
        <w:rPr>
          <w:rFonts w:cs="Arial"/>
          <w:sz w:val="20"/>
          <w:szCs w:val="20"/>
          <w:lang w:val="pt-BR"/>
        </w:rPr>
        <w:t xml:space="preserve"> JUTILA, S. </w:t>
      </w:r>
      <w:r w:rsidR="00F5570B" w:rsidRPr="002606DF">
        <w:rPr>
          <w:rFonts w:cs="Arial"/>
          <w:b/>
          <w:sz w:val="20"/>
          <w:szCs w:val="20"/>
          <w:lang w:val="pt-BR"/>
        </w:rPr>
        <w:t>Give me time to think</w:t>
      </w:r>
      <w:r w:rsidR="00591F2A" w:rsidRPr="002606DF">
        <w:rPr>
          <w:rFonts w:cs="Arial"/>
          <w:b/>
          <w:sz w:val="20"/>
          <w:szCs w:val="20"/>
          <w:lang w:val="pt-BR"/>
        </w:rPr>
        <w:t xml:space="preserve"> </w:t>
      </w:r>
      <w:r w:rsidR="00F5570B" w:rsidRPr="002606DF">
        <w:rPr>
          <w:rFonts w:cs="Arial"/>
          <w:sz w:val="20"/>
          <w:szCs w:val="20"/>
          <w:lang w:val="pt-BR"/>
        </w:rPr>
        <w:t xml:space="preserve">- determining student workload in higher education. </w:t>
      </w:r>
      <w:r w:rsidR="00F5570B" w:rsidRPr="002606DF">
        <w:rPr>
          <w:rFonts w:cs="Arial"/>
          <w:color w:val="222222"/>
          <w:sz w:val="20"/>
          <w:szCs w:val="20"/>
        </w:rPr>
        <w:t xml:space="preserve">Oulu: </w:t>
      </w:r>
      <w:r w:rsidR="00F5570B" w:rsidRPr="002606DF">
        <w:rPr>
          <w:rFonts w:cs="Arial"/>
          <w:sz w:val="20"/>
          <w:szCs w:val="20"/>
          <w:lang w:val="pt-BR"/>
        </w:rPr>
        <w:t>Oulu University Press, 2006.</w:t>
      </w:r>
    </w:p>
    <w:p w:rsidR="003222D2" w:rsidRPr="002606DF" w:rsidRDefault="003222D2" w:rsidP="00296B8E">
      <w:pPr>
        <w:spacing w:after="120"/>
        <w:rPr>
          <w:rFonts w:cs="Times New Roman"/>
          <w:sz w:val="20"/>
          <w:szCs w:val="20"/>
          <w:lang w:val="pt-BR"/>
        </w:rPr>
      </w:pPr>
      <w:r w:rsidRPr="002606DF">
        <w:rPr>
          <w:rFonts w:cs="Times New Roman"/>
          <w:color w:val="222222"/>
          <w:sz w:val="20"/>
          <w:szCs w:val="20"/>
        </w:rPr>
        <w:t xml:space="preserve">LUCIO-VILLEGAS, E. </w:t>
      </w:r>
      <w:r w:rsidRPr="002606DF">
        <w:rPr>
          <w:rFonts w:cs="Times New Roman"/>
          <w:sz w:val="20"/>
          <w:szCs w:val="20"/>
          <w:lang w:val="pt-BR"/>
        </w:rPr>
        <w:t>Building knowledge democracy from the university: A case study in Spain.</w:t>
      </w:r>
      <w:r w:rsidRPr="002606DF">
        <w:rPr>
          <w:rFonts w:cs="Times New Roman"/>
          <w:color w:val="222222"/>
          <w:sz w:val="20"/>
          <w:szCs w:val="20"/>
        </w:rPr>
        <w:t xml:space="preserve"> </w:t>
      </w:r>
      <w:r w:rsidRPr="002606DF">
        <w:rPr>
          <w:rFonts w:cs="Times New Roman"/>
          <w:b/>
          <w:color w:val="222222"/>
          <w:sz w:val="20"/>
          <w:szCs w:val="20"/>
        </w:rPr>
        <w:t>Action Research</w:t>
      </w:r>
      <w:r w:rsidRPr="002606DF">
        <w:rPr>
          <w:rFonts w:cs="Times New Roman"/>
          <w:color w:val="222222"/>
          <w:sz w:val="20"/>
          <w:szCs w:val="20"/>
        </w:rPr>
        <w:t xml:space="preserve">, v. </w:t>
      </w:r>
      <w:r w:rsidRPr="002606DF">
        <w:rPr>
          <w:rFonts w:cs="Times New Roman"/>
          <w:sz w:val="20"/>
          <w:szCs w:val="20"/>
          <w:lang w:val="pt-BR"/>
        </w:rPr>
        <w:t>14, n. 1, p. 3–18, 2015.</w:t>
      </w:r>
    </w:p>
    <w:p w:rsidR="008E3FFE" w:rsidRPr="002606DF" w:rsidRDefault="00591F2A" w:rsidP="00296B8E">
      <w:pPr>
        <w:spacing w:after="120"/>
        <w:rPr>
          <w:rFonts w:cs="Arial"/>
          <w:sz w:val="20"/>
          <w:szCs w:val="20"/>
          <w:lang w:val="pt-BR"/>
        </w:rPr>
      </w:pPr>
      <w:r w:rsidRPr="002606DF">
        <w:rPr>
          <w:rFonts w:cs="Arial"/>
          <w:color w:val="222222"/>
          <w:sz w:val="20"/>
          <w:szCs w:val="20"/>
        </w:rPr>
        <w:t>MOIMAZ, S. A. S.; SALIBA, N. A.; ZINA, L. G.; SALIBA, O.; GARBIN, C. A. S.</w:t>
      </w:r>
      <w:r w:rsidR="008E3FFE" w:rsidRPr="002606DF">
        <w:rPr>
          <w:rFonts w:cs="Arial"/>
          <w:color w:val="222222"/>
          <w:sz w:val="20"/>
          <w:szCs w:val="20"/>
        </w:rPr>
        <w:t xml:space="preserve"> Teaching-learning practices based on real scenarios.</w:t>
      </w:r>
      <w:r w:rsidR="008E3FFE" w:rsidRPr="002606DF">
        <w:rPr>
          <w:rStyle w:val="apple-converted-space"/>
          <w:rFonts w:cs="Arial"/>
          <w:color w:val="222222"/>
          <w:sz w:val="20"/>
          <w:szCs w:val="20"/>
        </w:rPr>
        <w:t> </w:t>
      </w:r>
      <w:r w:rsidR="008E3FFE" w:rsidRPr="002606DF">
        <w:rPr>
          <w:rFonts w:cs="Arial"/>
          <w:b/>
          <w:iCs/>
          <w:color w:val="222222"/>
          <w:sz w:val="20"/>
          <w:szCs w:val="20"/>
        </w:rPr>
        <w:t>Interface-Comunicação, Saúde, Educação</w:t>
      </w:r>
      <w:r w:rsidR="008E3FFE" w:rsidRPr="002606DF">
        <w:rPr>
          <w:rFonts w:cs="Arial"/>
          <w:color w:val="222222"/>
          <w:sz w:val="20"/>
          <w:szCs w:val="20"/>
        </w:rPr>
        <w:t>,</w:t>
      </w:r>
      <w:r w:rsidR="008E3FFE" w:rsidRPr="002606DF">
        <w:rPr>
          <w:rStyle w:val="apple-converted-space"/>
          <w:rFonts w:cs="Arial"/>
          <w:color w:val="222222"/>
          <w:sz w:val="20"/>
          <w:szCs w:val="20"/>
        </w:rPr>
        <w:t> </w:t>
      </w:r>
      <w:r w:rsidRPr="002606DF">
        <w:rPr>
          <w:rStyle w:val="apple-converted-space"/>
          <w:rFonts w:cs="Arial"/>
          <w:color w:val="222222"/>
          <w:sz w:val="20"/>
          <w:szCs w:val="20"/>
        </w:rPr>
        <w:t xml:space="preserve">v. </w:t>
      </w:r>
      <w:r w:rsidR="008E3FFE" w:rsidRPr="002606DF">
        <w:rPr>
          <w:rFonts w:cs="Arial"/>
          <w:iCs/>
          <w:color w:val="222222"/>
          <w:sz w:val="20"/>
          <w:szCs w:val="20"/>
        </w:rPr>
        <w:t>14</w:t>
      </w:r>
      <w:r w:rsidRPr="002606DF">
        <w:rPr>
          <w:rFonts w:cs="Arial"/>
          <w:iCs/>
          <w:color w:val="222222"/>
          <w:sz w:val="20"/>
          <w:szCs w:val="20"/>
        </w:rPr>
        <w:t xml:space="preserve">, n. </w:t>
      </w:r>
      <w:r w:rsidRPr="002606DF">
        <w:rPr>
          <w:rFonts w:cs="Arial"/>
          <w:color w:val="222222"/>
          <w:sz w:val="20"/>
          <w:szCs w:val="20"/>
        </w:rPr>
        <w:t>32</w:t>
      </w:r>
      <w:r w:rsidR="008E3FFE" w:rsidRPr="002606DF">
        <w:rPr>
          <w:rFonts w:cs="Arial"/>
          <w:color w:val="222222"/>
          <w:sz w:val="20"/>
          <w:szCs w:val="20"/>
        </w:rPr>
        <w:t xml:space="preserve">, </w:t>
      </w:r>
      <w:r w:rsidRPr="002606DF">
        <w:rPr>
          <w:rFonts w:cs="Arial"/>
          <w:color w:val="222222"/>
          <w:sz w:val="20"/>
          <w:szCs w:val="20"/>
        </w:rPr>
        <w:t xml:space="preserve">p. </w:t>
      </w:r>
      <w:r w:rsidR="008E3FFE" w:rsidRPr="002606DF">
        <w:rPr>
          <w:rFonts w:cs="Arial"/>
          <w:color w:val="222222"/>
          <w:sz w:val="20"/>
          <w:szCs w:val="20"/>
        </w:rPr>
        <w:t>69-79</w:t>
      </w:r>
      <w:r w:rsidRPr="002606DF">
        <w:rPr>
          <w:rFonts w:cs="Arial"/>
          <w:color w:val="222222"/>
          <w:sz w:val="20"/>
          <w:szCs w:val="20"/>
        </w:rPr>
        <w:t>,</w:t>
      </w:r>
      <w:r w:rsidR="008E3FFE" w:rsidRPr="002606DF">
        <w:rPr>
          <w:rFonts w:cs="Arial"/>
          <w:sz w:val="20"/>
          <w:szCs w:val="20"/>
          <w:lang w:val="pt-BR"/>
        </w:rPr>
        <w:t xml:space="preserve"> </w:t>
      </w:r>
      <w:r w:rsidRPr="002606DF">
        <w:rPr>
          <w:rFonts w:cs="Arial"/>
          <w:color w:val="222222"/>
          <w:sz w:val="20"/>
          <w:szCs w:val="20"/>
        </w:rPr>
        <w:t>2010.</w:t>
      </w:r>
    </w:p>
    <w:p w:rsidR="00F5570B" w:rsidRPr="002606DF" w:rsidRDefault="00591F2A" w:rsidP="00296B8E">
      <w:pPr>
        <w:spacing w:after="120"/>
        <w:rPr>
          <w:rFonts w:cs="Arial"/>
          <w:color w:val="222222"/>
          <w:sz w:val="20"/>
          <w:szCs w:val="20"/>
          <w:shd w:val="clear" w:color="auto" w:fill="FFFFFF"/>
        </w:rPr>
      </w:pPr>
      <w:r w:rsidRPr="002606DF">
        <w:rPr>
          <w:rFonts w:cs="Arial"/>
          <w:color w:val="222222"/>
          <w:sz w:val="20"/>
          <w:szCs w:val="20"/>
        </w:rPr>
        <w:t>NOZAKI, J. M.; FERREIRA, L. A.; HUNGER, D. A. C. F.</w:t>
      </w:r>
      <w:r w:rsidR="00F5570B" w:rsidRPr="002606DF">
        <w:rPr>
          <w:rFonts w:cs="Arial"/>
          <w:color w:val="222222"/>
          <w:sz w:val="20"/>
          <w:szCs w:val="20"/>
        </w:rPr>
        <w:t xml:space="preserve"> Evidências formativas da extensão universitária na docência em Educação Física.</w:t>
      </w:r>
      <w:r w:rsidR="00F5570B" w:rsidRPr="002606DF">
        <w:rPr>
          <w:rStyle w:val="apple-converted-space"/>
          <w:rFonts w:cs="Arial"/>
          <w:color w:val="222222"/>
          <w:sz w:val="20"/>
          <w:szCs w:val="20"/>
        </w:rPr>
        <w:t> </w:t>
      </w:r>
      <w:r w:rsidR="00F5570B" w:rsidRPr="002606DF">
        <w:rPr>
          <w:rFonts w:cs="Arial"/>
          <w:b/>
          <w:iCs/>
          <w:color w:val="222222"/>
          <w:sz w:val="20"/>
          <w:szCs w:val="20"/>
        </w:rPr>
        <w:t>Revista Eletrônica de Educação</w:t>
      </w:r>
      <w:r w:rsidR="00F5570B" w:rsidRPr="002606DF">
        <w:rPr>
          <w:rFonts w:cs="Arial"/>
          <w:color w:val="222222"/>
          <w:sz w:val="20"/>
          <w:szCs w:val="20"/>
        </w:rPr>
        <w:t>,</w:t>
      </w:r>
      <w:r w:rsidR="00F5570B" w:rsidRPr="002606DF">
        <w:rPr>
          <w:rStyle w:val="apple-converted-space"/>
          <w:rFonts w:cs="Arial"/>
          <w:color w:val="222222"/>
          <w:sz w:val="20"/>
          <w:szCs w:val="20"/>
        </w:rPr>
        <w:t> </w:t>
      </w:r>
      <w:r w:rsidRPr="002606DF">
        <w:rPr>
          <w:rStyle w:val="apple-converted-space"/>
          <w:rFonts w:cs="Arial"/>
          <w:color w:val="222222"/>
          <w:sz w:val="20"/>
          <w:szCs w:val="20"/>
        </w:rPr>
        <w:t xml:space="preserve">v. </w:t>
      </w:r>
      <w:r w:rsidR="00F5570B" w:rsidRPr="002606DF">
        <w:rPr>
          <w:rFonts w:cs="Arial"/>
          <w:iCs/>
          <w:color w:val="222222"/>
          <w:sz w:val="20"/>
          <w:szCs w:val="20"/>
        </w:rPr>
        <w:t>9</w:t>
      </w:r>
      <w:r w:rsidRPr="002606DF">
        <w:rPr>
          <w:rFonts w:cs="Arial"/>
          <w:iCs/>
          <w:color w:val="222222"/>
          <w:sz w:val="20"/>
          <w:szCs w:val="20"/>
        </w:rPr>
        <w:t>, n.</w:t>
      </w:r>
      <w:r w:rsidR="00F5570B" w:rsidRPr="002606DF">
        <w:rPr>
          <w:rFonts w:cs="Arial"/>
          <w:i/>
          <w:iCs/>
          <w:color w:val="222222"/>
          <w:sz w:val="20"/>
          <w:szCs w:val="20"/>
        </w:rPr>
        <w:t xml:space="preserve"> </w:t>
      </w:r>
      <w:r w:rsidRPr="002606DF">
        <w:rPr>
          <w:rFonts w:cs="Arial"/>
          <w:color w:val="222222"/>
          <w:sz w:val="20"/>
          <w:szCs w:val="20"/>
        </w:rPr>
        <w:t>1</w:t>
      </w:r>
      <w:r w:rsidR="00F5570B" w:rsidRPr="002606DF">
        <w:rPr>
          <w:rFonts w:cs="Arial"/>
          <w:color w:val="222222"/>
          <w:sz w:val="20"/>
          <w:szCs w:val="20"/>
        </w:rPr>
        <w:t xml:space="preserve">, </w:t>
      </w:r>
      <w:r w:rsidRPr="002606DF">
        <w:rPr>
          <w:rFonts w:cs="Arial"/>
          <w:color w:val="222222"/>
          <w:sz w:val="20"/>
          <w:szCs w:val="20"/>
        </w:rPr>
        <w:t xml:space="preserve">p. </w:t>
      </w:r>
      <w:r w:rsidR="00F5570B" w:rsidRPr="002606DF">
        <w:rPr>
          <w:rFonts w:cs="Arial"/>
          <w:color w:val="222222"/>
          <w:sz w:val="20"/>
          <w:szCs w:val="20"/>
        </w:rPr>
        <w:t>228-241</w:t>
      </w:r>
      <w:r w:rsidRPr="002606DF">
        <w:rPr>
          <w:rFonts w:cs="Arial"/>
          <w:color w:val="222222"/>
          <w:sz w:val="20"/>
          <w:szCs w:val="20"/>
        </w:rPr>
        <w:t>, 2015</w:t>
      </w:r>
      <w:r w:rsidR="00F5570B" w:rsidRPr="002606DF">
        <w:rPr>
          <w:rFonts w:cs="Arial"/>
          <w:color w:val="222222"/>
          <w:sz w:val="20"/>
          <w:szCs w:val="20"/>
        </w:rPr>
        <w:t>.</w:t>
      </w:r>
    </w:p>
    <w:p w:rsidR="0007044D" w:rsidRPr="002606DF" w:rsidRDefault="000458D2" w:rsidP="00296B8E">
      <w:pPr>
        <w:spacing w:after="120"/>
        <w:rPr>
          <w:rFonts w:cs="Arial"/>
          <w:sz w:val="20"/>
          <w:szCs w:val="20"/>
          <w:shd w:val="clear" w:color="auto" w:fill="FFFFFF"/>
        </w:rPr>
      </w:pPr>
      <w:r w:rsidRPr="002606DF">
        <w:rPr>
          <w:rFonts w:cs="Helvetica"/>
          <w:sz w:val="20"/>
          <w:szCs w:val="20"/>
        </w:rPr>
        <w:t>ROCHELEAU</w:t>
      </w:r>
      <w:r w:rsidR="0007044D" w:rsidRPr="002606DF">
        <w:rPr>
          <w:rFonts w:cs="Helvetica"/>
          <w:sz w:val="20"/>
          <w:szCs w:val="20"/>
        </w:rPr>
        <w:t>,</w:t>
      </w:r>
      <w:r w:rsidR="0007044D" w:rsidRPr="002606DF">
        <w:rPr>
          <w:rStyle w:val="nfase"/>
          <w:rFonts w:cs="Helvetica"/>
          <w:sz w:val="20"/>
          <w:szCs w:val="20"/>
          <w:bdr w:val="none" w:sz="0" w:space="0" w:color="auto" w:frame="1"/>
        </w:rPr>
        <w:t xml:space="preserve"> </w:t>
      </w:r>
      <w:r w:rsidR="00E42C84" w:rsidRPr="002606DF">
        <w:rPr>
          <w:rFonts w:cs="Helvetica"/>
          <w:sz w:val="20"/>
          <w:szCs w:val="20"/>
        </w:rPr>
        <w:t>J</w:t>
      </w:r>
      <w:r w:rsidR="0007044D" w:rsidRPr="002606DF">
        <w:rPr>
          <w:rFonts w:cs="Helvetica"/>
          <w:sz w:val="20"/>
          <w:szCs w:val="20"/>
        </w:rPr>
        <w:t xml:space="preserve">. </w:t>
      </w:r>
      <w:r w:rsidR="0007044D" w:rsidRPr="002606DF">
        <w:rPr>
          <w:rStyle w:val="nfase"/>
          <w:rFonts w:cs="Helvetica"/>
          <w:i w:val="0"/>
          <w:sz w:val="20"/>
          <w:szCs w:val="20"/>
          <w:bdr w:val="none" w:sz="0" w:space="0" w:color="auto" w:frame="1"/>
        </w:rPr>
        <w:t xml:space="preserve">Theoretical </w:t>
      </w:r>
      <w:r w:rsidR="00E42C84" w:rsidRPr="002606DF">
        <w:rPr>
          <w:rStyle w:val="nfase"/>
          <w:rFonts w:cs="Helvetica"/>
          <w:i w:val="0"/>
          <w:sz w:val="20"/>
          <w:szCs w:val="20"/>
          <w:bdr w:val="none" w:sz="0" w:space="0" w:color="auto" w:frame="1"/>
        </w:rPr>
        <w:t>roots of service-learning: progressive education and the development of citizenship</w:t>
      </w:r>
      <w:r w:rsidR="0007044D" w:rsidRPr="002606DF">
        <w:rPr>
          <w:rStyle w:val="nfase"/>
          <w:rFonts w:cs="Helvetica"/>
          <w:sz w:val="20"/>
          <w:szCs w:val="20"/>
          <w:bdr w:val="none" w:sz="0" w:space="0" w:color="auto" w:frame="1"/>
        </w:rPr>
        <w:t xml:space="preserve">. </w:t>
      </w:r>
      <w:r w:rsidR="00591F2A" w:rsidRPr="002606DF">
        <w:rPr>
          <w:rFonts w:cs="Arial"/>
          <w:sz w:val="20"/>
          <w:szCs w:val="20"/>
        </w:rPr>
        <w:t>IN: SPECK, B. W.; HOPPE, S. L. (E</w:t>
      </w:r>
      <w:r w:rsidR="0007044D" w:rsidRPr="002606DF">
        <w:rPr>
          <w:rFonts w:cs="Arial"/>
          <w:sz w:val="20"/>
          <w:szCs w:val="20"/>
        </w:rPr>
        <w:t xml:space="preserve">ds.) </w:t>
      </w:r>
      <w:r w:rsidR="0007044D" w:rsidRPr="002606DF">
        <w:rPr>
          <w:rFonts w:cs="Arial"/>
          <w:b/>
          <w:sz w:val="20"/>
          <w:szCs w:val="20"/>
        </w:rPr>
        <w:t>Service-learning</w:t>
      </w:r>
      <w:r w:rsidR="0007044D" w:rsidRPr="002606DF">
        <w:rPr>
          <w:rFonts w:cs="Arial"/>
          <w:sz w:val="20"/>
          <w:szCs w:val="20"/>
        </w:rPr>
        <w:t>: history, theory and issues. Westport: Praeger Publishers,</w:t>
      </w:r>
      <w:r w:rsidR="0007044D" w:rsidRPr="002606DF">
        <w:rPr>
          <w:rFonts w:cs="Helvetica"/>
          <w:sz w:val="20"/>
          <w:szCs w:val="20"/>
        </w:rPr>
        <w:t xml:space="preserve"> p. 3-21</w:t>
      </w:r>
      <w:r w:rsidR="00BB6F6E" w:rsidRPr="002606DF">
        <w:rPr>
          <w:rFonts w:cs="Helvetica"/>
          <w:sz w:val="20"/>
          <w:szCs w:val="20"/>
        </w:rPr>
        <w:t>, 2004</w:t>
      </w:r>
      <w:r w:rsidR="0007044D" w:rsidRPr="002606DF">
        <w:rPr>
          <w:rFonts w:cs="Helvetica"/>
          <w:sz w:val="20"/>
          <w:szCs w:val="20"/>
        </w:rPr>
        <w:t>.</w:t>
      </w:r>
    </w:p>
    <w:p w:rsidR="00F5570B" w:rsidRPr="002606DF" w:rsidRDefault="00591F2A" w:rsidP="00296B8E">
      <w:pPr>
        <w:spacing w:after="120"/>
        <w:rPr>
          <w:rFonts w:cs="Arial"/>
          <w:sz w:val="20"/>
          <w:szCs w:val="20"/>
        </w:rPr>
      </w:pPr>
      <w:r w:rsidRPr="002606DF">
        <w:rPr>
          <w:rFonts w:cs="Arial"/>
          <w:sz w:val="20"/>
          <w:szCs w:val="20"/>
        </w:rPr>
        <w:t>RUIZ-GALLARDO, J. R.; CASTAÑO, S.; GÓMEZ-ALDAY, J. J.;</w:t>
      </w:r>
      <w:r w:rsidR="00104604" w:rsidRPr="002606DF">
        <w:rPr>
          <w:rFonts w:cs="Arial"/>
          <w:sz w:val="20"/>
          <w:szCs w:val="20"/>
        </w:rPr>
        <w:t xml:space="preserve"> VALDÉS, A. Assessing student workload in Problem Based Learning: Relationships among teaching method, student workload and achievement. A case study in Natural Sciences.</w:t>
      </w:r>
      <w:r w:rsidR="00104604" w:rsidRPr="002606DF">
        <w:rPr>
          <w:rStyle w:val="apple-converted-space"/>
          <w:rFonts w:cs="Arial"/>
          <w:sz w:val="20"/>
          <w:szCs w:val="20"/>
        </w:rPr>
        <w:t> </w:t>
      </w:r>
      <w:r w:rsidR="00104604" w:rsidRPr="002606DF">
        <w:rPr>
          <w:rFonts w:cs="Arial"/>
          <w:b/>
          <w:iCs/>
          <w:sz w:val="20"/>
          <w:szCs w:val="20"/>
        </w:rPr>
        <w:t>Teaching and Teacher Education</w:t>
      </w:r>
      <w:r w:rsidR="00104604" w:rsidRPr="002606DF">
        <w:rPr>
          <w:rFonts w:cs="Arial"/>
          <w:sz w:val="20"/>
          <w:szCs w:val="20"/>
        </w:rPr>
        <w:t>,</w:t>
      </w:r>
      <w:r w:rsidR="00104604" w:rsidRPr="002606DF">
        <w:rPr>
          <w:rStyle w:val="apple-converted-space"/>
          <w:rFonts w:cs="Arial"/>
          <w:sz w:val="20"/>
          <w:szCs w:val="20"/>
        </w:rPr>
        <w:t xml:space="preserve"> v. </w:t>
      </w:r>
      <w:r w:rsidR="00104604" w:rsidRPr="002606DF">
        <w:rPr>
          <w:rFonts w:cs="Arial"/>
          <w:iCs/>
          <w:sz w:val="20"/>
          <w:szCs w:val="20"/>
        </w:rPr>
        <w:t xml:space="preserve">27 n. </w:t>
      </w:r>
      <w:r w:rsidR="00104604" w:rsidRPr="002606DF">
        <w:rPr>
          <w:rFonts w:cs="Arial"/>
          <w:sz w:val="20"/>
          <w:szCs w:val="20"/>
        </w:rPr>
        <w:t>3, p. 619-627</w:t>
      </w:r>
      <w:r w:rsidRPr="002606DF">
        <w:rPr>
          <w:rFonts w:cs="Arial"/>
          <w:sz w:val="20"/>
          <w:szCs w:val="20"/>
        </w:rPr>
        <w:t>, 2011</w:t>
      </w:r>
      <w:r w:rsidR="00104604" w:rsidRPr="002606DF">
        <w:rPr>
          <w:rFonts w:cs="Arial"/>
          <w:sz w:val="20"/>
          <w:szCs w:val="20"/>
        </w:rPr>
        <w:t>.</w:t>
      </w:r>
    </w:p>
    <w:p w:rsidR="00557CA8" w:rsidRPr="002606DF" w:rsidRDefault="00166EAE" w:rsidP="00296B8E">
      <w:pPr>
        <w:spacing w:after="120"/>
        <w:rPr>
          <w:rFonts w:cs="Arial"/>
          <w:sz w:val="20"/>
          <w:szCs w:val="20"/>
          <w:shd w:val="clear" w:color="auto" w:fill="FFFFFF"/>
        </w:rPr>
      </w:pPr>
      <w:r w:rsidRPr="002606DF">
        <w:rPr>
          <w:rFonts w:cs="Arial"/>
          <w:sz w:val="20"/>
          <w:szCs w:val="20"/>
        </w:rPr>
        <w:t>SALANT, P.; LAUMATIA, L</w:t>
      </w:r>
      <w:r w:rsidR="00557CA8" w:rsidRPr="002606DF">
        <w:rPr>
          <w:rFonts w:cs="Arial"/>
          <w:sz w:val="20"/>
          <w:szCs w:val="20"/>
        </w:rPr>
        <w:t>.</w:t>
      </w:r>
      <w:r w:rsidR="00557CA8" w:rsidRPr="002606DF">
        <w:rPr>
          <w:rFonts w:cs="Gill Sans MT"/>
          <w:sz w:val="20"/>
          <w:szCs w:val="20"/>
        </w:rPr>
        <w:t xml:space="preserve"> </w:t>
      </w:r>
      <w:r w:rsidR="00557CA8" w:rsidRPr="002606DF">
        <w:rPr>
          <w:rFonts w:cs="Gill Sans MT"/>
          <w:bCs/>
          <w:iCs/>
          <w:sz w:val="20"/>
          <w:szCs w:val="20"/>
        </w:rPr>
        <w:t xml:space="preserve">Better </w:t>
      </w:r>
      <w:r w:rsidRPr="002606DF">
        <w:rPr>
          <w:rFonts w:cs="Gill Sans MT"/>
          <w:bCs/>
          <w:iCs/>
          <w:sz w:val="20"/>
          <w:szCs w:val="20"/>
        </w:rPr>
        <w:t>tog</w:t>
      </w:r>
      <w:r w:rsidR="00557CA8" w:rsidRPr="002606DF">
        <w:rPr>
          <w:rFonts w:cs="Gill Sans MT"/>
          <w:bCs/>
          <w:iCs/>
          <w:sz w:val="20"/>
          <w:szCs w:val="20"/>
        </w:rPr>
        <w:t>ether: Coeur d’Alene Reservation Communities and the University of Idaho</w:t>
      </w:r>
      <w:r w:rsidRPr="002606DF">
        <w:rPr>
          <w:rFonts w:cs="Gill Sans MT"/>
          <w:bCs/>
          <w:iCs/>
          <w:sz w:val="20"/>
          <w:szCs w:val="20"/>
        </w:rPr>
        <w:t>.</w:t>
      </w:r>
      <w:r w:rsidR="00557CA8" w:rsidRPr="002606DF">
        <w:rPr>
          <w:rFonts w:cs="Gill Sans MT"/>
          <w:bCs/>
          <w:iCs/>
          <w:sz w:val="20"/>
          <w:szCs w:val="20"/>
        </w:rPr>
        <w:t xml:space="preserve"> </w:t>
      </w:r>
      <w:r w:rsidR="00557CA8" w:rsidRPr="002606DF">
        <w:rPr>
          <w:rFonts w:cs="Gill Sans MT"/>
          <w:b/>
          <w:iCs/>
          <w:sz w:val="20"/>
          <w:szCs w:val="20"/>
        </w:rPr>
        <w:t>Journal of Higher Education Outreach and Engagement</w:t>
      </w:r>
      <w:r w:rsidR="00557CA8" w:rsidRPr="002606DF">
        <w:rPr>
          <w:rFonts w:cs="Gill Sans MT"/>
          <w:sz w:val="20"/>
          <w:szCs w:val="20"/>
        </w:rPr>
        <w:t xml:space="preserve">, v. 15, n. 3, p. 101-112, 2011. </w:t>
      </w:r>
    </w:p>
    <w:p w:rsidR="00303947" w:rsidRPr="002606DF" w:rsidRDefault="00BB6F6E" w:rsidP="00296B8E">
      <w:pPr>
        <w:spacing w:after="120"/>
        <w:rPr>
          <w:rFonts w:cs="TimesNewRomanPSMT"/>
          <w:sz w:val="20"/>
          <w:szCs w:val="20"/>
          <w:lang w:val="pt-BR"/>
        </w:rPr>
      </w:pPr>
      <w:r w:rsidRPr="002606DF">
        <w:rPr>
          <w:rFonts w:cs="Arial"/>
          <w:sz w:val="20"/>
          <w:szCs w:val="20"/>
        </w:rPr>
        <w:t>SHELTON, D. P.; RODIE, S. N.; FEEHAN, K. A.; FRANTI, T. G.; PEKAREK, K. A.;</w:t>
      </w:r>
      <w:r w:rsidR="008F719C" w:rsidRPr="002606DF">
        <w:rPr>
          <w:rFonts w:cs="Arial"/>
          <w:sz w:val="20"/>
          <w:szCs w:val="20"/>
        </w:rPr>
        <w:t xml:space="preserve"> HOLM, B. A.</w:t>
      </w:r>
      <w:r w:rsidR="00303947" w:rsidRPr="002606DF">
        <w:rPr>
          <w:rFonts w:cs="Arial"/>
          <w:sz w:val="20"/>
          <w:szCs w:val="20"/>
        </w:rPr>
        <w:t xml:space="preserve"> Integrating </w:t>
      </w:r>
      <w:r w:rsidR="0052188B" w:rsidRPr="002606DF">
        <w:rPr>
          <w:rFonts w:cs="Arial"/>
          <w:sz w:val="20"/>
          <w:szCs w:val="20"/>
        </w:rPr>
        <w:t>extension, teaching, and research for stormwater management education</w:t>
      </w:r>
      <w:r w:rsidR="00303947" w:rsidRPr="002606DF">
        <w:rPr>
          <w:rFonts w:cs="Arial"/>
          <w:sz w:val="20"/>
          <w:szCs w:val="20"/>
        </w:rPr>
        <w:t>.</w:t>
      </w:r>
      <w:r w:rsidR="00303947" w:rsidRPr="002606DF">
        <w:rPr>
          <w:rStyle w:val="apple-converted-space"/>
          <w:rFonts w:cs="Arial"/>
          <w:sz w:val="20"/>
          <w:szCs w:val="20"/>
        </w:rPr>
        <w:t> </w:t>
      </w:r>
      <w:r w:rsidR="00303947" w:rsidRPr="002606DF">
        <w:rPr>
          <w:rFonts w:cs="Arial"/>
          <w:b/>
          <w:iCs/>
          <w:sz w:val="20"/>
          <w:szCs w:val="20"/>
        </w:rPr>
        <w:t>Journal of Contemporary Water Research &amp; Education</w:t>
      </w:r>
      <w:r w:rsidR="00303947" w:rsidRPr="002606DF">
        <w:rPr>
          <w:rFonts w:cs="Arial"/>
          <w:sz w:val="20"/>
          <w:szCs w:val="20"/>
        </w:rPr>
        <w:t>,</w:t>
      </w:r>
      <w:r w:rsidR="00303947" w:rsidRPr="002606DF">
        <w:rPr>
          <w:rStyle w:val="apple-converted-space"/>
          <w:rFonts w:cs="Arial"/>
          <w:sz w:val="20"/>
          <w:szCs w:val="20"/>
        </w:rPr>
        <w:t> </w:t>
      </w:r>
      <w:r w:rsidR="00F5570B" w:rsidRPr="002606DF">
        <w:rPr>
          <w:rStyle w:val="apple-converted-space"/>
          <w:rFonts w:cs="Arial"/>
          <w:sz w:val="20"/>
          <w:szCs w:val="20"/>
        </w:rPr>
        <w:t xml:space="preserve">v. </w:t>
      </w:r>
      <w:r w:rsidR="00303947" w:rsidRPr="002606DF">
        <w:rPr>
          <w:rFonts w:cs="Arial"/>
          <w:iCs/>
          <w:sz w:val="20"/>
          <w:szCs w:val="20"/>
        </w:rPr>
        <w:t>156</w:t>
      </w:r>
      <w:r w:rsidR="00F5570B" w:rsidRPr="002606DF">
        <w:rPr>
          <w:rFonts w:cs="Arial"/>
          <w:iCs/>
          <w:sz w:val="20"/>
          <w:szCs w:val="20"/>
        </w:rPr>
        <w:t>,</w:t>
      </w:r>
      <w:r w:rsidR="00F5570B" w:rsidRPr="002606DF">
        <w:rPr>
          <w:rFonts w:cs="Arial"/>
          <w:sz w:val="20"/>
          <w:szCs w:val="20"/>
        </w:rPr>
        <w:t xml:space="preserve"> n. 1</w:t>
      </w:r>
      <w:r w:rsidR="00303947" w:rsidRPr="002606DF">
        <w:rPr>
          <w:rFonts w:cs="Arial"/>
          <w:sz w:val="20"/>
          <w:szCs w:val="20"/>
        </w:rPr>
        <w:t xml:space="preserve">, </w:t>
      </w:r>
      <w:r w:rsidR="00F5570B" w:rsidRPr="002606DF">
        <w:rPr>
          <w:rFonts w:cs="Arial"/>
          <w:sz w:val="20"/>
          <w:szCs w:val="20"/>
        </w:rPr>
        <w:t xml:space="preserve">p. </w:t>
      </w:r>
      <w:r w:rsidR="00303947" w:rsidRPr="002606DF">
        <w:rPr>
          <w:rFonts w:cs="Arial"/>
          <w:sz w:val="20"/>
          <w:szCs w:val="20"/>
        </w:rPr>
        <w:t>68-77</w:t>
      </w:r>
      <w:r w:rsidRPr="002606DF">
        <w:rPr>
          <w:rFonts w:cs="Arial"/>
          <w:sz w:val="20"/>
          <w:szCs w:val="20"/>
        </w:rPr>
        <w:t>, 2015</w:t>
      </w:r>
      <w:r w:rsidR="00303947" w:rsidRPr="002606DF">
        <w:rPr>
          <w:rFonts w:cs="Arial"/>
          <w:sz w:val="20"/>
          <w:szCs w:val="20"/>
        </w:rPr>
        <w:t>.</w:t>
      </w:r>
      <w:r w:rsidR="00303947" w:rsidRPr="002606DF">
        <w:rPr>
          <w:rFonts w:cs="TimesNewRomanPSMT"/>
          <w:sz w:val="20"/>
          <w:szCs w:val="20"/>
          <w:lang w:val="pt-BR"/>
        </w:rPr>
        <w:t xml:space="preserve"> </w:t>
      </w:r>
    </w:p>
    <w:p w:rsidR="00883D58" w:rsidRPr="002606DF" w:rsidRDefault="00883D58" w:rsidP="00296B8E">
      <w:pPr>
        <w:spacing w:after="120"/>
        <w:rPr>
          <w:rFonts w:cs="TimesNewRomanPSMT"/>
          <w:sz w:val="20"/>
          <w:szCs w:val="20"/>
          <w:lang w:val="pt-BR"/>
        </w:rPr>
      </w:pPr>
      <w:r w:rsidRPr="002606DF">
        <w:rPr>
          <w:rFonts w:cs="TimesNewRomanPSMT"/>
          <w:sz w:val="20"/>
          <w:szCs w:val="20"/>
          <w:lang w:val="pt-BR"/>
        </w:rPr>
        <w:t>SILVA</w:t>
      </w:r>
      <w:r w:rsidR="00D71936" w:rsidRPr="002606DF">
        <w:rPr>
          <w:rFonts w:cs="TimesNewRomanPSMT"/>
          <w:sz w:val="20"/>
          <w:szCs w:val="20"/>
          <w:lang w:val="pt-BR"/>
        </w:rPr>
        <w:t xml:space="preserve">, C. M. </w:t>
      </w:r>
      <w:r w:rsidR="00D71936" w:rsidRPr="002606DF">
        <w:rPr>
          <w:rFonts w:cs="TimesNewRomanPSMT"/>
          <w:b/>
          <w:sz w:val="20"/>
          <w:szCs w:val="20"/>
          <w:lang w:val="pt-BR"/>
        </w:rPr>
        <w:t xml:space="preserve">De </w:t>
      </w:r>
      <w:r w:rsidRPr="002606DF">
        <w:rPr>
          <w:rFonts w:cs="TimesNewRomanPSMT"/>
          <w:b/>
          <w:sz w:val="20"/>
          <w:szCs w:val="20"/>
          <w:lang w:val="pt-BR"/>
        </w:rPr>
        <w:t xml:space="preserve">agricultor a </w:t>
      </w:r>
      <w:r w:rsidRPr="002606DF">
        <w:rPr>
          <w:rFonts w:cs="TimesNewRomanPSMT"/>
          <w:b/>
          <w:i/>
          <w:sz w:val="20"/>
          <w:szCs w:val="20"/>
          <w:lang w:val="pt-BR"/>
        </w:rPr>
        <w:t>farmer</w:t>
      </w:r>
      <w:r w:rsidRPr="002606DF">
        <w:rPr>
          <w:rFonts w:cs="TimesNewRomanPSMT"/>
          <w:sz w:val="20"/>
          <w:szCs w:val="20"/>
          <w:lang w:val="pt-BR"/>
        </w:rPr>
        <w:t xml:space="preserve"> – Nelson Rockfeller e a modernização da agricultura no Brasil. Guarapuava: Editora da UNICENTRO, 2015.</w:t>
      </w:r>
    </w:p>
    <w:p w:rsidR="005E5BAD" w:rsidRPr="002606DF" w:rsidRDefault="005E5BAD" w:rsidP="00296B8E">
      <w:pPr>
        <w:spacing w:after="120"/>
        <w:rPr>
          <w:rFonts w:cs="TimesNewRomanPSMT"/>
          <w:sz w:val="20"/>
          <w:szCs w:val="20"/>
          <w:lang w:val="pt-BR"/>
        </w:rPr>
      </w:pPr>
      <w:r w:rsidRPr="002606DF">
        <w:rPr>
          <w:rFonts w:cs="TimesNewRomanPSMT"/>
          <w:sz w:val="20"/>
          <w:szCs w:val="20"/>
          <w:lang w:val="pt-BR"/>
        </w:rPr>
        <w:lastRenderedPageBreak/>
        <w:t>SOUSA, A. L.</w:t>
      </w:r>
      <w:r w:rsidR="002F7665" w:rsidRPr="002606DF">
        <w:rPr>
          <w:rFonts w:cs="TimesNewRomanPSMT"/>
          <w:sz w:val="20"/>
          <w:szCs w:val="20"/>
          <w:lang w:val="pt-BR"/>
        </w:rPr>
        <w:t xml:space="preserve"> L.</w:t>
      </w:r>
      <w:r w:rsidRPr="002606DF">
        <w:rPr>
          <w:rFonts w:cs="TimesNewRomanPSMT"/>
          <w:sz w:val="20"/>
          <w:szCs w:val="20"/>
          <w:lang w:val="pt-BR"/>
        </w:rPr>
        <w:t xml:space="preserve"> Concepção de extensão universitária: ainda precisamos </w:t>
      </w:r>
      <w:r w:rsidR="001B79E7" w:rsidRPr="002606DF">
        <w:rPr>
          <w:rFonts w:cs="TimesNewRomanPSMT"/>
          <w:sz w:val="20"/>
          <w:szCs w:val="20"/>
          <w:lang w:val="pt-BR"/>
        </w:rPr>
        <w:t xml:space="preserve">de </w:t>
      </w:r>
      <w:r w:rsidRPr="002606DF">
        <w:rPr>
          <w:rFonts w:cs="TimesNewRomanPSMT"/>
          <w:sz w:val="20"/>
          <w:szCs w:val="20"/>
          <w:lang w:val="pt-BR"/>
        </w:rPr>
        <w:t xml:space="preserve">falar sobre isto? In: </w:t>
      </w:r>
      <w:r w:rsidR="001B79E7" w:rsidRPr="002606DF">
        <w:rPr>
          <w:rFonts w:cs="TimesNewRomanPSMT"/>
          <w:sz w:val="20"/>
          <w:szCs w:val="20"/>
          <w:lang w:val="pt-BR"/>
        </w:rPr>
        <w:t>FARIA</w:t>
      </w:r>
      <w:r w:rsidR="00BB6F6E" w:rsidRPr="002606DF">
        <w:rPr>
          <w:rFonts w:cs="TimesNewRomanPSMT"/>
          <w:sz w:val="20"/>
          <w:szCs w:val="20"/>
          <w:lang w:val="pt-BR"/>
        </w:rPr>
        <w:t>, D. S. de (O</w:t>
      </w:r>
      <w:r w:rsidRPr="002606DF">
        <w:rPr>
          <w:rFonts w:cs="TimesNewRomanPSMT"/>
          <w:sz w:val="20"/>
          <w:szCs w:val="20"/>
          <w:lang w:val="pt-BR"/>
        </w:rPr>
        <w:t xml:space="preserve">rg.) </w:t>
      </w:r>
      <w:r w:rsidRPr="002606DF">
        <w:rPr>
          <w:rFonts w:cs="TimesNewRomanPSMT"/>
          <w:b/>
          <w:sz w:val="20"/>
          <w:szCs w:val="20"/>
          <w:lang w:val="pt-BR"/>
        </w:rPr>
        <w:t>Construção conceitual da extensão universitária na América Latina</w:t>
      </w:r>
      <w:r w:rsidRPr="002606DF">
        <w:rPr>
          <w:rFonts w:cs="TimesNewRomanPSMT"/>
          <w:sz w:val="20"/>
          <w:szCs w:val="20"/>
          <w:lang w:val="pt-BR"/>
        </w:rPr>
        <w:t>. Brasília: Universida</w:t>
      </w:r>
      <w:r w:rsidR="002F7665" w:rsidRPr="002606DF">
        <w:rPr>
          <w:rFonts w:cs="TimesNewRomanPSMT"/>
          <w:sz w:val="20"/>
          <w:szCs w:val="20"/>
          <w:lang w:val="pt-BR"/>
        </w:rPr>
        <w:t>d</w:t>
      </w:r>
      <w:r w:rsidR="00BB6F6E" w:rsidRPr="002606DF">
        <w:rPr>
          <w:rFonts w:cs="TimesNewRomanPSMT"/>
          <w:sz w:val="20"/>
          <w:szCs w:val="20"/>
          <w:lang w:val="pt-BR"/>
        </w:rPr>
        <w:t>e de Brasília,</w:t>
      </w:r>
      <w:r w:rsidRPr="002606DF">
        <w:rPr>
          <w:rFonts w:cs="TimesNewRomanPSMT"/>
          <w:sz w:val="20"/>
          <w:szCs w:val="20"/>
          <w:lang w:val="pt-BR"/>
        </w:rPr>
        <w:t xml:space="preserve"> p. 107-</w:t>
      </w:r>
      <w:r w:rsidR="002F7665" w:rsidRPr="002606DF">
        <w:rPr>
          <w:rFonts w:cs="TimesNewRomanPSMT"/>
          <w:sz w:val="20"/>
          <w:szCs w:val="20"/>
          <w:lang w:val="pt-BR"/>
        </w:rPr>
        <w:t>126</w:t>
      </w:r>
      <w:r w:rsidR="00BB6F6E" w:rsidRPr="002606DF">
        <w:rPr>
          <w:rFonts w:cs="TimesNewRomanPSMT"/>
          <w:sz w:val="20"/>
          <w:szCs w:val="20"/>
          <w:lang w:val="pt-BR"/>
        </w:rPr>
        <w:t>, 2001</w:t>
      </w:r>
      <w:r w:rsidR="002F7665" w:rsidRPr="002606DF">
        <w:rPr>
          <w:rFonts w:cs="TimesNewRomanPSMT"/>
          <w:sz w:val="20"/>
          <w:szCs w:val="20"/>
          <w:lang w:val="pt-BR"/>
        </w:rPr>
        <w:t>.</w:t>
      </w:r>
    </w:p>
    <w:p w:rsidR="00557CA8" w:rsidRPr="002606DF" w:rsidRDefault="00B86573" w:rsidP="00296B8E">
      <w:pPr>
        <w:spacing w:after="120"/>
        <w:rPr>
          <w:rFonts w:cs="TimesNewRomanPSMT"/>
          <w:sz w:val="20"/>
          <w:szCs w:val="20"/>
          <w:lang w:val="pt-BR"/>
        </w:rPr>
      </w:pPr>
      <w:r w:rsidRPr="002606DF">
        <w:rPr>
          <w:rFonts w:cs="TimesNewRomanPSMT"/>
          <w:sz w:val="20"/>
          <w:szCs w:val="20"/>
          <w:lang w:val="pt-BR"/>
        </w:rPr>
        <w:t xml:space="preserve">SOUSA, A. L. </w:t>
      </w:r>
      <w:r w:rsidR="002F7665" w:rsidRPr="002606DF">
        <w:rPr>
          <w:rFonts w:cs="TimesNewRomanPSMT"/>
          <w:sz w:val="20"/>
          <w:szCs w:val="20"/>
          <w:lang w:val="pt-BR"/>
        </w:rPr>
        <w:t xml:space="preserve">L. </w:t>
      </w:r>
      <w:r w:rsidRPr="002606DF">
        <w:rPr>
          <w:rFonts w:cs="TimesNewRomanPS-BoldMT"/>
          <w:b/>
          <w:bCs/>
          <w:sz w:val="20"/>
          <w:szCs w:val="20"/>
          <w:lang w:val="pt-BR"/>
        </w:rPr>
        <w:t>A história da extensão universitária</w:t>
      </w:r>
      <w:r w:rsidRPr="002606DF">
        <w:rPr>
          <w:rFonts w:cs="TimesNewRomanPSMT"/>
          <w:sz w:val="20"/>
          <w:szCs w:val="20"/>
          <w:lang w:val="pt-BR"/>
        </w:rPr>
        <w:t>.</w:t>
      </w:r>
      <w:r w:rsidR="0073661F" w:rsidRPr="002606DF">
        <w:rPr>
          <w:rFonts w:cs="TimesNewRomanPSMT"/>
          <w:sz w:val="20"/>
          <w:szCs w:val="20"/>
          <w:lang w:val="pt-BR"/>
        </w:rPr>
        <w:t xml:space="preserve"> Campinas: Alínea Editora, 2010</w:t>
      </w:r>
      <w:r w:rsidR="00BB6F6E" w:rsidRPr="002606DF">
        <w:rPr>
          <w:rFonts w:cs="TimesNewRomanPSMT"/>
          <w:sz w:val="20"/>
          <w:szCs w:val="20"/>
          <w:lang w:val="pt-BR"/>
        </w:rPr>
        <w:t>.</w:t>
      </w:r>
    </w:p>
    <w:p w:rsidR="00557CA8" w:rsidRPr="002606DF" w:rsidRDefault="00557CA8" w:rsidP="00296B8E">
      <w:pPr>
        <w:spacing w:after="120"/>
        <w:rPr>
          <w:rFonts w:cs="TimesNewRomanPSMT"/>
          <w:sz w:val="20"/>
          <w:szCs w:val="20"/>
          <w:lang w:val="pt-BR"/>
        </w:rPr>
      </w:pPr>
      <w:r w:rsidRPr="002606DF">
        <w:rPr>
          <w:rFonts w:cs="Arial"/>
          <w:sz w:val="20"/>
          <w:szCs w:val="20"/>
        </w:rPr>
        <w:t xml:space="preserve">STOECKER, R. </w:t>
      </w:r>
      <w:r w:rsidRPr="002606DF">
        <w:rPr>
          <w:rFonts w:cs="Gill Sans MT"/>
          <w:bCs/>
          <w:iCs/>
          <w:sz w:val="20"/>
          <w:szCs w:val="20"/>
        </w:rPr>
        <w:t>Extension and Higher Education Service- Learning: Toward a Community Development Service-Learning Model.</w:t>
      </w:r>
      <w:r w:rsidRPr="002606DF">
        <w:rPr>
          <w:rFonts w:cs="Arial"/>
          <w:sz w:val="20"/>
          <w:szCs w:val="20"/>
        </w:rPr>
        <w:t xml:space="preserve"> </w:t>
      </w:r>
      <w:r w:rsidRPr="002606DF">
        <w:rPr>
          <w:rFonts w:cs="Gill Sans MT"/>
          <w:b/>
          <w:iCs/>
          <w:sz w:val="20"/>
          <w:szCs w:val="20"/>
          <w:lang w:val="pt-BR"/>
        </w:rPr>
        <w:t>Journal of Higher Education Outreach and Engagement</w:t>
      </w:r>
      <w:r w:rsidRPr="002606DF">
        <w:rPr>
          <w:rFonts w:cs="Gill Sans MT"/>
          <w:sz w:val="20"/>
          <w:szCs w:val="20"/>
          <w:lang w:val="pt-BR"/>
        </w:rPr>
        <w:t>,</w:t>
      </w:r>
      <w:r w:rsidRPr="002606DF">
        <w:rPr>
          <w:rFonts w:cs="Gill Sans MT"/>
          <w:sz w:val="20"/>
          <w:szCs w:val="20"/>
        </w:rPr>
        <w:t xml:space="preserve"> v. 18, n.</w:t>
      </w:r>
      <w:r w:rsidRPr="002606DF">
        <w:rPr>
          <w:rFonts w:cs="Gill Sans MT"/>
          <w:sz w:val="20"/>
          <w:szCs w:val="20"/>
          <w:lang w:val="pt-BR"/>
        </w:rPr>
        <w:t xml:space="preserve"> 1, p. 15</w:t>
      </w:r>
      <w:r w:rsidRPr="002606DF">
        <w:rPr>
          <w:rFonts w:cs="Gill Sans MT"/>
          <w:sz w:val="20"/>
          <w:szCs w:val="20"/>
        </w:rPr>
        <w:t xml:space="preserve">-42, </w:t>
      </w:r>
      <w:r w:rsidRPr="002606DF">
        <w:rPr>
          <w:rFonts w:cs="Gill Sans MT"/>
          <w:sz w:val="20"/>
          <w:szCs w:val="20"/>
          <w:lang w:val="pt-BR"/>
        </w:rPr>
        <w:t>2014</w:t>
      </w:r>
      <w:r w:rsidRPr="002606DF">
        <w:rPr>
          <w:rFonts w:cs="Gill Sans MT"/>
          <w:sz w:val="20"/>
          <w:szCs w:val="20"/>
        </w:rPr>
        <w:t>.</w:t>
      </w:r>
    </w:p>
    <w:p w:rsidR="0073661F" w:rsidRPr="002606DF" w:rsidRDefault="00557CA8" w:rsidP="00296B8E">
      <w:pPr>
        <w:spacing w:after="120"/>
        <w:rPr>
          <w:rStyle w:val="apple-converted-space"/>
          <w:sz w:val="20"/>
          <w:szCs w:val="20"/>
          <w:lang w:val="pt-BR"/>
        </w:rPr>
      </w:pPr>
      <w:r w:rsidRPr="002606DF">
        <w:rPr>
          <w:rFonts w:cs="Arial"/>
          <w:sz w:val="20"/>
          <w:szCs w:val="20"/>
        </w:rPr>
        <w:t>TAPIA</w:t>
      </w:r>
      <w:r w:rsidR="00BB6F6E" w:rsidRPr="002606DF">
        <w:rPr>
          <w:rFonts w:cs="Arial"/>
          <w:sz w:val="20"/>
          <w:szCs w:val="20"/>
        </w:rPr>
        <w:t>, M.</w:t>
      </w:r>
      <w:r w:rsidR="00F17E9A" w:rsidRPr="002606DF">
        <w:rPr>
          <w:rFonts w:cs="Arial"/>
          <w:sz w:val="20"/>
          <w:szCs w:val="20"/>
        </w:rPr>
        <w:t xml:space="preserve"> La propuesta pedagógica del Aprendizaje-Servicio: una perspectiva latinoameri</w:t>
      </w:r>
      <w:r w:rsidR="00BB6F6E" w:rsidRPr="002606DF">
        <w:rPr>
          <w:rFonts w:cs="Arial"/>
          <w:sz w:val="20"/>
          <w:szCs w:val="20"/>
        </w:rPr>
        <w:t xml:space="preserve">cana. </w:t>
      </w:r>
      <w:r w:rsidR="00BB6F6E" w:rsidRPr="002606DF">
        <w:rPr>
          <w:rFonts w:cs="Arial"/>
          <w:b/>
          <w:sz w:val="20"/>
          <w:szCs w:val="20"/>
        </w:rPr>
        <w:t>Tzhoecoen</w:t>
      </w:r>
      <w:r w:rsidR="00BB6F6E" w:rsidRPr="002606DF">
        <w:rPr>
          <w:rFonts w:cs="Arial"/>
          <w:sz w:val="20"/>
          <w:szCs w:val="20"/>
        </w:rPr>
        <w:t>, n. 5, p. 23-43, 2010.</w:t>
      </w:r>
    </w:p>
    <w:p w:rsidR="00CF2E6D" w:rsidRPr="002606DF" w:rsidRDefault="00070B03" w:rsidP="00296B8E">
      <w:pPr>
        <w:spacing w:after="120"/>
        <w:rPr>
          <w:sz w:val="20"/>
          <w:szCs w:val="20"/>
        </w:rPr>
      </w:pPr>
      <w:r w:rsidRPr="002606DF">
        <w:rPr>
          <w:sz w:val="20"/>
          <w:szCs w:val="20"/>
        </w:rPr>
        <w:t xml:space="preserve">TEIXEIRA, P. N. Extensão Universitária na Europa: A Terceira Missão. Entrevista concedida a Manoel Maximiano Junior. </w:t>
      </w:r>
      <w:r w:rsidRPr="002606DF">
        <w:rPr>
          <w:b/>
          <w:bCs/>
          <w:sz w:val="20"/>
          <w:szCs w:val="20"/>
        </w:rPr>
        <w:t>Revista Brasileira de Extensão Universitária</w:t>
      </w:r>
      <w:r w:rsidR="00CF2E6D" w:rsidRPr="002606DF">
        <w:rPr>
          <w:sz w:val="20"/>
          <w:szCs w:val="20"/>
        </w:rPr>
        <w:t>, v. 6, n. 1, p. 59-62, 2015.</w:t>
      </w:r>
    </w:p>
    <w:p w:rsidR="00CF2E6D" w:rsidRPr="002606DF" w:rsidRDefault="00CF2E6D" w:rsidP="00296B8E">
      <w:pPr>
        <w:spacing w:after="120"/>
        <w:rPr>
          <w:sz w:val="20"/>
          <w:szCs w:val="20"/>
          <w:lang w:val="pt-BR"/>
        </w:rPr>
      </w:pPr>
      <w:r w:rsidRPr="002606DF">
        <w:rPr>
          <w:sz w:val="20"/>
          <w:szCs w:val="20"/>
          <w:lang w:val="pt-BR"/>
        </w:rPr>
        <w:t xml:space="preserve">TOMMASINO, H. 2011. </w:t>
      </w:r>
      <w:r w:rsidRPr="002606DF">
        <w:rPr>
          <w:rFonts w:cs="TheMixExtraBold-Italic"/>
          <w:bCs/>
          <w:iCs/>
          <w:sz w:val="20"/>
          <w:szCs w:val="20"/>
          <w:lang w:val="pt-BR"/>
        </w:rPr>
        <w:t xml:space="preserve">El debe y el Haber - </w:t>
      </w:r>
      <w:r w:rsidRPr="002606DF">
        <w:rPr>
          <w:rFonts w:cs="TheSansBold-Plain"/>
          <w:bCs/>
          <w:sz w:val="20"/>
          <w:szCs w:val="20"/>
          <w:lang w:val="pt-BR"/>
        </w:rPr>
        <w:t xml:space="preserve">balance de cuatro años de gestión. </w:t>
      </w:r>
      <w:r w:rsidRPr="002606DF">
        <w:rPr>
          <w:rFonts w:cs="TheSansBold-Plain"/>
          <w:b/>
          <w:bCs/>
          <w:sz w:val="20"/>
          <w:szCs w:val="20"/>
          <w:lang w:val="pt-BR"/>
        </w:rPr>
        <w:t>enDiálogo</w:t>
      </w:r>
      <w:r w:rsidRPr="002606DF">
        <w:rPr>
          <w:rFonts w:cs="TheSansBold-Plain"/>
          <w:bCs/>
          <w:sz w:val="20"/>
          <w:szCs w:val="20"/>
          <w:lang w:val="pt-BR"/>
        </w:rPr>
        <w:t>, n. 8, p. 2</w:t>
      </w:r>
      <w:r w:rsidR="00BB6F6E" w:rsidRPr="002606DF">
        <w:rPr>
          <w:rFonts w:cs="TheSansBold-Plain"/>
          <w:bCs/>
          <w:sz w:val="20"/>
          <w:szCs w:val="20"/>
          <w:lang w:val="pt-BR"/>
        </w:rPr>
        <w:t>-2</w:t>
      </w:r>
      <w:r w:rsidRPr="002606DF">
        <w:rPr>
          <w:rFonts w:cs="TheSansBold-Plain"/>
          <w:bCs/>
          <w:sz w:val="20"/>
          <w:szCs w:val="20"/>
          <w:lang w:val="pt-BR"/>
        </w:rPr>
        <w:t>, 2011.</w:t>
      </w:r>
    </w:p>
    <w:p w:rsidR="00104604" w:rsidRPr="002606DF" w:rsidRDefault="00DE3A78" w:rsidP="00296B8E">
      <w:pPr>
        <w:spacing w:after="120"/>
        <w:rPr>
          <w:sz w:val="20"/>
          <w:szCs w:val="20"/>
          <w:lang w:val="pt-BR"/>
        </w:rPr>
      </w:pPr>
      <w:r w:rsidRPr="002606DF">
        <w:rPr>
          <w:rFonts w:cs="TimesNewRomanPSMT"/>
          <w:sz w:val="20"/>
          <w:szCs w:val="20"/>
          <w:lang w:val="pt-BR"/>
        </w:rPr>
        <w:t xml:space="preserve">UDELAR </w:t>
      </w:r>
      <w:r w:rsidRPr="002606DF">
        <w:rPr>
          <w:rFonts w:cs="Times#20New#20Roman"/>
          <w:sz w:val="20"/>
          <w:szCs w:val="20"/>
          <w:lang w:val="pt-BR"/>
        </w:rPr>
        <w:t xml:space="preserve">– </w:t>
      </w:r>
      <w:r w:rsidRPr="002606DF">
        <w:rPr>
          <w:rFonts w:cs="TimesNewRomanPSMT"/>
          <w:sz w:val="20"/>
          <w:szCs w:val="20"/>
          <w:lang w:val="pt-BR"/>
        </w:rPr>
        <w:t xml:space="preserve">Universidad de la República de Uruguay. </w:t>
      </w:r>
      <w:r w:rsidRPr="002606DF">
        <w:rPr>
          <w:rFonts w:cs="TimesNewRomanPS-BoldMT"/>
          <w:b/>
          <w:bCs/>
          <w:sz w:val="20"/>
          <w:szCs w:val="20"/>
          <w:lang w:val="pt-BR"/>
        </w:rPr>
        <w:t>Hacia la reforma universitaria</w:t>
      </w:r>
      <w:r w:rsidRPr="002606DF">
        <w:rPr>
          <w:rFonts w:cs="TimesNewRomanPSMT"/>
          <w:sz w:val="20"/>
          <w:szCs w:val="20"/>
          <w:lang w:val="pt-BR"/>
        </w:rPr>
        <w:t>: La Extensión en la renovación de la enseñanza: espacios d</w:t>
      </w:r>
      <w:r w:rsidR="00BB6F6E" w:rsidRPr="002606DF">
        <w:rPr>
          <w:rFonts w:cs="TimesNewRomanPSMT"/>
          <w:sz w:val="20"/>
          <w:szCs w:val="20"/>
          <w:lang w:val="pt-BR"/>
        </w:rPr>
        <w:t>e formación integral. Montevideo</w:t>
      </w:r>
      <w:r w:rsidRPr="002606DF">
        <w:rPr>
          <w:rFonts w:cs="TimesNewRomanPSMT"/>
          <w:sz w:val="20"/>
          <w:szCs w:val="20"/>
          <w:lang w:val="pt-BR"/>
        </w:rPr>
        <w:t>: UDELAR, 2010.</w:t>
      </w:r>
    </w:p>
    <w:p w:rsidR="00104604" w:rsidRPr="002606DF" w:rsidRDefault="00104604" w:rsidP="00296B8E">
      <w:pPr>
        <w:spacing w:after="120"/>
        <w:rPr>
          <w:sz w:val="20"/>
          <w:szCs w:val="20"/>
          <w:lang w:val="pt-BR"/>
        </w:rPr>
      </w:pPr>
      <w:r w:rsidRPr="002606DF">
        <w:rPr>
          <w:rFonts w:cs="Arial-BoldMT"/>
          <w:bCs/>
          <w:sz w:val="20"/>
          <w:szCs w:val="20"/>
          <w:lang w:val="pt-BR"/>
        </w:rPr>
        <w:t>VILABOA, D. C. Aportes de la extensión a las transformaciones educativas universitarias. Análisis de los modelos pedagógicos en los Espacios de Formación Integral de la Universidad de la República. Dissertação de Mestrado, Facultad de Psicología, Universidad de La Republica, Montevideo, 2014.</w:t>
      </w:r>
    </w:p>
    <w:p w:rsidR="00870D28" w:rsidRPr="002606DF" w:rsidRDefault="0073661F" w:rsidP="00296B8E">
      <w:pPr>
        <w:spacing w:after="120"/>
        <w:rPr>
          <w:sz w:val="20"/>
          <w:szCs w:val="20"/>
          <w:lang w:val="pt-BR"/>
        </w:rPr>
      </w:pPr>
      <w:r w:rsidRPr="002606DF">
        <w:rPr>
          <w:sz w:val="20"/>
          <w:szCs w:val="20"/>
        </w:rPr>
        <w:t>VÉRAS, R. M.; SOUZA, G. B. de.</w:t>
      </w:r>
      <w:r w:rsidRPr="002606DF">
        <w:rPr>
          <w:rFonts w:eastAsia="Times New Roman"/>
          <w:sz w:val="20"/>
          <w:szCs w:val="20"/>
        </w:rPr>
        <w:t xml:space="preserve"> </w:t>
      </w:r>
      <w:r w:rsidRPr="002606DF">
        <w:rPr>
          <w:sz w:val="20"/>
          <w:szCs w:val="20"/>
        </w:rPr>
        <w:t>Extensão universitária e atividade curricular em comunidade e em sociedade na Universidade Federal da Bahia</w:t>
      </w:r>
      <w:r w:rsidRPr="002606DF">
        <w:rPr>
          <w:rFonts w:eastAsia="Times New Roman"/>
          <w:sz w:val="20"/>
          <w:szCs w:val="20"/>
        </w:rPr>
        <w:t xml:space="preserve">. </w:t>
      </w:r>
      <w:r w:rsidRPr="002606DF">
        <w:rPr>
          <w:b/>
          <w:bCs/>
          <w:sz w:val="20"/>
          <w:szCs w:val="20"/>
        </w:rPr>
        <w:t>Revista Brasileira de Extensão Universitária</w:t>
      </w:r>
      <w:r w:rsidRPr="002606DF">
        <w:rPr>
          <w:bCs/>
          <w:sz w:val="20"/>
          <w:szCs w:val="20"/>
        </w:rPr>
        <w:t>, v. 7, n. 2, p. 83-90, 2016</w:t>
      </w:r>
      <w:r w:rsidR="00CF2E6D" w:rsidRPr="002606DF">
        <w:rPr>
          <w:bCs/>
          <w:sz w:val="20"/>
          <w:szCs w:val="20"/>
        </w:rPr>
        <w:t>.</w:t>
      </w:r>
    </w:p>
    <w:p w:rsidR="00870D28" w:rsidRPr="002606DF" w:rsidRDefault="00870D28" w:rsidP="00296B8E">
      <w:pPr>
        <w:spacing w:after="120"/>
        <w:rPr>
          <w:sz w:val="20"/>
          <w:szCs w:val="20"/>
          <w:lang w:val="pt-BR"/>
        </w:rPr>
      </w:pPr>
      <w:r w:rsidRPr="002606DF">
        <w:rPr>
          <w:rFonts w:cs="TimesNewRomanPSMT"/>
          <w:sz w:val="20"/>
          <w:szCs w:val="20"/>
          <w:lang w:val="pt-BR"/>
        </w:rPr>
        <w:t xml:space="preserve">VOGELGESANG, L. J.; ASTIN, A. W. Comparing the effects of community service and service-learning. </w:t>
      </w:r>
      <w:r w:rsidRPr="002606DF">
        <w:rPr>
          <w:rFonts w:cs="TimesNewRomanPS-BoldMT"/>
          <w:b/>
          <w:bCs/>
          <w:sz w:val="20"/>
          <w:szCs w:val="20"/>
          <w:lang w:val="pt-BR"/>
        </w:rPr>
        <w:t>Michigan Journal of Community Service Learning</w:t>
      </w:r>
      <w:r w:rsidRPr="002606DF">
        <w:rPr>
          <w:rFonts w:cs="TimesNewRomanPSMT"/>
          <w:sz w:val="20"/>
          <w:szCs w:val="20"/>
          <w:lang w:val="pt-BR"/>
        </w:rPr>
        <w:t xml:space="preserve">, v. 7, n. 1, p. 25-34, 2000. </w:t>
      </w:r>
    </w:p>
    <w:p w:rsidR="0007044D" w:rsidRPr="002606DF" w:rsidRDefault="00C340E8" w:rsidP="00296B8E">
      <w:pPr>
        <w:autoSpaceDE w:val="0"/>
        <w:autoSpaceDN w:val="0"/>
        <w:adjustRightInd w:val="0"/>
        <w:spacing w:after="120" w:line="240" w:lineRule="auto"/>
        <w:jc w:val="both"/>
        <w:rPr>
          <w:rFonts w:cs="TimesNewRomanPSMT"/>
          <w:sz w:val="20"/>
          <w:szCs w:val="20"/>
          <w:lang w:val="pt-BR"/>
        </w:rPr>
      </w:pPr>
      <w:r w:rsidRPr="002606DF">
        <w:rPr>
          <w:rFonts w:cs="TimesNewRomanPSMT"/>
          <w:sz w:val="20"/>
          <w:szCs w:val="20"/>
          <w:lang w:val="pt-BR"/>
        </w:rPr>
        <w:t>ZIEREN, G. R.; STODDARD, P. H. The historical origins of service-learning in the</w:t>
      </w:r>
      <w:r w:rsidR="0007044D" w:rsidRPr="002606DF">
        <w:rPr>
          <w:rFonts w:cs="TimesNewRomanPSMT"/>
          <w:sz w:val="20"/>
          <w:szCs w:val="20"/>
          <w:lang w:val="pt-BR"/>
        </w:rPr>
        <w:t xml:space="preserve"> </w:t>
      </w:r>
      <w:r w:rsidRPr="002606DF">
        <w:rPr>
          <w:rFonts w:cs="TimesNewRomanPSMT"/>
          <w:sz w:val="20"/>
          <w:szCs w:val="20"/>
          <w:lang w:val="pt-BR"/>
        </w:rPr>
        <w:t>nineteenth and twentieth centuries: the transplanted and indigenous traditions. In: SPECK, B. W.; HOPPE, S. L. (Ed</w:t>
      </w:r>
      <w:r w:rsidR="00BB6F6E" w:rsidRPr="002606DF">
        <w:rPr>
          <w:rFonts w:cs="TimesNewRomanPSMT"/>
          <w:sz w:val="20"/>
          <w:szCs w:val="20"/>
          <w:lang w:val="pt-BR"/>
        </w:rPr>
        <w:t>s</w:t>
      </w:r>
      <w:r w:rsidRPr="002606DF">
        <w:rPr>
          <w:rFonts w:cs="TimesNewRomanPSMT"/>
          <w:sz w:val="20"/>
          <w:szCs w:val="20"/>
          <w:lang w:val="pt-BR"/>
        </w:rPr>
        <w:t xml:space="preserve">.). </w:t>
      </w:r>
      <w:r w:rsidRPr="002606DF">
        <w:rPr>
          <w:rFonts w:cs="TimesNewRomanPS-BoldMT"/>
          <w:b/>
          <w:bCs/>
          <w:sz w:val="20"/>
          <w:szCs w:val="20"/>
          <w:lang w:val="pt-BR"/>
        </w:rPr>
        <w:t>Service-learning</w:t>
      </w:r>
      <w:r w:rsidRPr="002606DF">
        <w:rPr>
          <w:rFonts w:cs="TimesNewRomanPSMT"/>
          <w:sz w:val="20"/>
          <w:szCs w:val="20"/>
          <w:lang w:val="pt-BR"/>
        </w:rPr>
        <w:t>: history, theory, and issues. Westport: Greenwood Publishing Group,</w:t>
      </w:r>
      <w:r w:rsidR="00BB6F6E" w:rsidRPr="002606DF">
        <w:rPr>
          <w:rFonts w:cs="TimesNewRomanPSMT"/>
          <w:sz w:val="20"/>
          <w:szCs w:val="20"/>
          <w:lang w:val="pt-BR"/>
        </w:rPr>
        <w:t xml:space="preserve"> </w:t>
      </w:r>
      <w:r w:rsidR="00BB6F6E" w:rsidRPr="002606DF">
        <w:rPr>
          <w:rFonts w:cs="Arial"/>
          <w:color w:val="222222"/>
          <w:sz w:val="20"/>
          <w:szCs w:val="20"/>
        </w:rPr>
        <w:t>p. 23-42, </w:t>
      </w:r>
      <w:r w:rsidRPr="002606DF">
        <w:rPr>
          <w:rFonts w:cs="TimesNewRomanPSMT"/>
          <w:sz w:val="20"/>
          <w:szCs w:val="20"/>
          <w:lang w:val="pt-BR"/>
        </w:rPr>
        <w:t xml:space="preserve"> 2004.</w:t>
      </w:r>
      <w:r w:rsidR="0007044D" w:rsidRPr="002606DF">
        <w:rPr>
          <w:rFonts w:cs="Arial"/>
          <w:sz w:val="20"/>
          <w:szCs w:val="20"/>
        </w:rPr>
        <w:t xml:space="preserve"> </w:t>
      </w:r>
    </w:p>
    <w:p w:rsidR="0007044D" w:rsidRPr="002606DF" w:rsidRDefault="0007044D" w:rsidP="002606DF">
      <w:pPr>
        <w:spacing w:after="80"/>
        <w:rPr>
          <w:rFonts w:cs="Arial"/>
          <w:sz w:val="20"/>
          <w:szCs w:val="20"/>
        </w:rPr>
      </w:pPr>
    </w:p>
    <w:p w:rsidR="004516FC" w:rsidRPr="002606DF" w:rsidRDefault="004516FC" w:rsidP="002606DF">
      <w:pPr>
        <w:autoSpaceDE w:val="0"/>
        <w:autoSpaceDN w:val="0"/>
        <w:adjustRightInd w:val="0"/>
        <w:spacing w:after="80" w:line="240" w:lineRule="auto"/>
        <w:rPr>
          <w:sz w:val="20"/>
          <w:szCs w:val="20"/>
          <w:lang w:val="pt-BR"/>
        </w:rPr>
      </w:pPr>
    </w:p>
    <w:sectPr w:rsidR="004516FC" w:rsidRPr="002606DF" w:rsidSect="00EB4489">
      <w:pgSz w:w="11906" w:h="16838"/>
      <w:pgMar w:top="1701" w:right="170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D6F" w:rsidRDefault="00073D6F" w:rsidP="00002AD1">
      <w:pPr>
        <w:spacing w:after="0" w:line="240" w:lineRule="auto"/>
      </w:pPr>
      <w:r>
        <w:separator/>
      </w:r>
    </w:p>
  </w:endnote>
  <w:endnote w:type="continuationSeparator" w:id="0">
    <w:p w:rsidR="00073D6F" w:rsidRDefault="00073D6F" w:rsidP="00002A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TimesNewRomanPSMT">
    <w:panose1 w:val="00000000000000000000"/>
    <w:charset w:val="00"/>
    <w:family w:val="roman"/>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GillSans-LightItalic">
    <w:panose1 w:val="00000000000000000000"/>
    <w:charset w:val="00"/>
    <w:family w:val="roman"/>
    <w:notTrueType/>
    <w:pitch w:val="default"/>
    <w:sig w:usb0="00000003" w:usb1="00000000" w:usb2="00000000" w:usb3="00000000" w:csb0="00000001" w:csb1="00000000"/>
  </w:font>
  <w:font w:name="Swift-Regular">
    <w:panose1 w:val="00000000000000000000"/>
    <w:charset w:val="00"/>
    <w:family w:val="auto"/>
    <w:notTrueType/>
    <w:pitch w:val="default"/>
    <w:sig w:usb0="00000003" w:usb1="00000000" w:usb2="00000000" w:usb3="00000000" w:csb0="00000001" w:csb1="00000000"/>
  </w:font>
  <w:font w:name="AdvOTb92eb7df.I">
    <w:panose1 w:val="00000000000000000000"/>
    <w:charset w:val="00"/>
    <w:family w:val="roman"/>
    <w:notTrueType/>
    <w:pitch w:val="default"/>
    <w:sig w:usb0="00000003" w:usb1="00000000" w:usb2="00000000" w:usb3="00000000" w:csb0="00000001" w:csb1="00000000"/>
  </w:font>
  <w:font w:name="AdvOT863180fb">
    <w:panose1 w:val="00000000000000000000"/>
    <w:charset w:val="00"/>
    <w:family w:val="roman"/>
    <w:notTrueType/>
    <w:pitch w:val="default"/>
    <w:sig w:usb0="00000003" w:usb1="00000000" w:usb2="00000000" w:usb3="00000000" w:csb0="00000001" w:csb1="00000000"/>
  </w:font>
  <w:font w:name="Tahoma-Bold">
    <w:panose1 w:val="00000000000000000000"/>
    <w:charset w:val="00"/>
    <w:family w:val="auto"/>
    <w:notTrueType/>
    <w:pitch w:val="default"/>
    <w:sig w:usb0="00000003" w:usb1="00000000" w:usb2="00000000" w:usb3="00000000" w:csb0="00000001" w:csb1="00000000"/>
  </w:font>
  <w:font w:name="GillSans-Light">
    <w:panose1 w:val="00000000000000000000"/>
    <w:charset w:val="00"/>
    <w:family w:val="roman"/>
    <w:notTrueType/>
    <w:pitch w:val="default"/>
    <w:sig w:usb0="00000003" w:usb1="00000000" w:usb2="00000000" w:usb3="00000000" w:csb0="00000001" w:csb1="00000000"/>
  </w:font>
  <w:font w:name="Times#20New#20Roman">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heMixExtraBold-Italic">
    <w:panose1 w:val="00000000000000000000"/>
    <w:charset w:val="00"/>
    <w:family w:val="swiss"/>
    <w:notTrueType/>
    <w:pitch w:val="default"/>
    <w:sig w:usb0="00000003" w:usb1="00000000" w:usb2="00000000" w:usb3="00000000" w:csb0="00000001" w:csb1="00000000"/>
  </w:font>
  <w:font w:name="TheSansBold-Plain">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D6F" w:rsidRDefault="00073D6F" w:rsidP="00002AD1">
      <w:pPr>
        <w:spacing w:after="0" w:line="240" w:lineRule="auto"/>
      </w:pPr>
      <w:r>
        <w:separator/>
      </w:r>
    </w:p>
  </w:footnote>
  <w:footnote w:type="continuationSeparator" w:id="0">
    <w:p w:rsidR="00073D6F" w:rsidRDefault="00073D6F" w:rsidP="00002AD1">
      <w:pPr>
        <w:spacing w:after="0" w:line="240" w:lineRule="auto"/>
      </w:pPr>
      <w:r>
        <w:continuationSeparator/>
      </w:r>
    </w:p>
  </w:footnote>
  <w:footnote w:id="1">
    <w:p w:rsidR="00002AD1" w:rsidRPr="00002AD1" w:rsidRDefault="00002AD1" w:rsidP="00002AD1">
      <w:pPr>
        <w:pStyle w:val="Textodenotaderodap"/>
        <w:ind w:left="142" w:hanging="142"/>
        <w:jc w:val="both"/>
        <w:rPr>
          <w:lang w:val="es-ES"/>
        </w:rPr>
      </w:pPr>
      <w:r w:rsidRPr="00002AD1">
        <w:rPr>
          <w:rStyle w:val="Refdenotaderodap"/>
          <w:lang w:val="es-ES"/>
        </w:rPr>
        <w:footnoteRef/>
      </w:r>
      <w:r w:rsidR="004017A4">
        <w:rPr>
          <w:lang w:val="es-ES"/>
        </w:rPr>
        <w:t xml:space="preserve"> Artigo com base na conferência</w:t>
      </w:r>
      <w:r w:rsidRPr="00002AD1">
        <w:rPr>
          <w:lang w:val="es-ES"/>
        </w:rPr>
        <w:t xml:space="preserve"> “</w:t>
      </w:r>
      <w:r>
        <w:rPr>
          <w:lang w:val="es-ES"/>
        </w:rPr>
        <w:t>Extensión Universita</w:t>
      </w:r>
      <w:r w:rsidRPr="00002AD1">
        <w:rPr>
          <w:lang w:val="es-ES"/>
        </w:rPr>
        <w:t>ria: lo que es, donde viene e como contribuye para la Formación</w:t>
      </w:r>
      <w:r>
        <w:rPr>
          <w:lang w:val="es-ES"/>
        </w:rPr>
        <w:t>”,</w:t>
      </w:r>
      <w:r w:rsidRPr="00002AD1">
        <w:rPr>
          <w:lang w:val="es-ES"/>
        </w:rPr>
        <w:t xml:space="preserve">  durante a I Jornada Nacional de Extensión </w:t>
      </w:r>
      <w:r>
        <w:rPr>
          <w:lang w:val="es-ES"/>
        </w:rPr>
        <w:t>en</w:t>
      </w:r>
      <w:r w:rsidRPr="00002AD1">
        <w:rPr>
          <w:lang w:val="es-ES"/>
        </w:rPr>
        <w:t xml:space="preserve"> Odontología, Córdoba, Argentina, 6</w:t>
      </w:r>
      <w:r>
        <w:rPr>
          <w:lang w:val="es-ES"/>
        </w:rPr>
        <w:t xml:space="preserve"> </w:t>
      </w:r>
      <w:r w:rsidR="004017A4">
        <w:rPr>
          <w:lang w:val="es-ES"/>
        </w:rPr>
        <w:t>e 7 de Outubro</w:t>
      </w:r>
      <w:r w:rsidRPr="00002AD1">
        <w:rPr>
          <w:lang w:val="es-ES"/>
        </w:rPr>
        <w:t xml:space="preserve"> de 2016.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6430B6"/>
    <w:multiLevelType w:val="hybridMultilevel"/>
    <w:tmpl w:val="4AA069A8"/>
    <w:lvl w:ilvl="0" w:tplc="C16A9C12">
      <w:start w:val="1"/>
      <w:numFmt w:val="bullet"/>
      <w:lvlText w:val="•"/>
      <w:lvlJc w:val="left"/>
      <w:pPr>
        <w:tabs>
          <w:tab w:val="num" w:pos="720"/>
        </w:tabs>
        <w:ind w:left="720" w:hanging="360"/>
      </w:pPr>
      <w:rPr>
        <w:rFonts w:ascii="Arial" w:hAnsi="Arial" w:hint="default"/>
      </w:rPr>
    </w:lvl>
    <w:lvl w:ilvl="1" w:tplc="E5F815E4" w:tentative="1">
      <w:start w:val="1"/>
      <w:numFmt w:val="bullet"/>
      <w:lvlText w:val="•"/>
      <w:lvlJc w:val="left"/>
      <w:pPr>
        <w:tabs>
          <w:tab w:val="num" w:pos="1440"/>
        </w:tabs>
        <w:ind w:left="1440" w:hanging="360"/>
      </w:pPr>
      <w:rPr>
        <w:rFonts w:ascii="Arial" w:hAnsi="Arial" w:hint="default"/>
      </w:rPr>
    </w:lvl>
    <w:lvl w:ilvl="2" w:tplc="298EA154" w:tentative="1">
      <w:start w:val="1"/>
      <w:numFmt w:val="bullet"/>
      <w:lvlText w:val="•"/>
      <w:lvlJc w:val="left"/>
      <w:pPr>
        <w:tabs>
          <w:tab w:val="num" w:pos="2160"/>
        </w:tabs>
        <w:ind w:left="2160" w:hanging="360"/>
      </w:pPr>
      <w:rPr>
        <w:rFonts w:ascii="Arial" w:hAnsi="Arial" w:hint="default"/>
      </w:rPr>
    </w:lvl>
    <w:lvl w:ilvl="3" w:tplc="92E87BF4" w:tentative="1">
      <w:start w:val="1"/>
      <w:numFmt w:val="bullet"/>
      <w:lvlText w:val="•"/>
      <w:lvlJc w:val="left"/>
      <w:pPr>
        <w:tabs>
          <w:tab w:val="num" w:pos="2880"/>
        </w:tabs>
        <w:ind w:left="2880" w:hanging="360"/>
      </w:pPr>
      <w:rPr>
        <w:rFonts w:ascii="Arial" w:hAnsi="Arial" w:hint="default"/>
      </w:rPr>
    </w:lvl>
    <w:lvl w:ilvl="4" w:tplc="CAF6F8D6" w:tentative="1">
      <w:start w:val="1"/>
      <w:numFmt w:val="bullet"/>
      <w:lvlText w:val="•"/>
      <w:lvlJc w:val="left"/>
      <w:pPr>
        <w:tabs>
          <w:tab w:val="num" w:pos="3600"/>
        </w:tabs>
        <w:ind w:left="3600" w:hanging="360"/>
      </w:pPr>
      <w:rPr>
        <w:rFonts w:ascii="Arial" w:hAnsi="Arial" w:hint="default"/>
      </w:rPr>
    </w:lvl>
    <w:lvl w:ilvl="5" w:tplc="AC9C7E26" w:tentative="1">
      <w:start w:val="1"/>
      <w:numFmt w:val="bullet"/>
      <w:lvlText w:val="•"/>
      <w:lvlJc w:val="left"/>
      <w:pPr>
        <w:tabs>
          <w:tab w:val="num" w:pos="4320"/>
        </w:tabs>
        <w:ind w:left="4320" w:hanging="360"/>
      </w:pPr>
      <w:rPr>
        <w:rFonts w:ascii="Arial" w:hAnsi="Arial" w:hint="default"/>
      </w:rPr>
    </w:lvl>
    <w:lvl w:ilvl="6" w:tplc="ECA07BDA" w:tentative="1">
      <w:start w:val="1"/>
      <w:numFmt w:val="bullet"/>
      <w:lvlText w:val="•"/>
      <w:lvlJc w:val="left"/>
      <w:pPr>
        <w:tabs>
          <w:tab w:val="num" w:pos="5040"/>
        </w:tabs>
        <w:ind w:left="5040" w:hanging="360"/>
      </w:pPr>
      <w:rPr>
        <w:rFonts w:ascii="Arial" w:hAnsi="Arial" w:hint="default"/>
      </w:rPr>
    </w:lvl>
    <w:lvl w:ilvl="7" w:tplc="00CC0C10" w:tentative="1">
      <w:start w:val="1"/>
      <w:numFmt w:val="bullet"/>
      <w:lvlText w:val="•"/>
      <w:lvlJc w:val="left"/>
      <w:pPr>
        <w:tabs>
          <w:tab w:val="num" w:pos="5760"/>
        </w:tabs>
        <w:ind w:left="5760" w:hanging="360"/>
      </w:pPr>
      <w:rPr>
        <w:rFonts w:ascii="Arial" w:hAnsi="Arial" w:hint="default"/>
      </w:rPr>
    </w:lvl>
    <w:lvl w:ilvl="8" w:tplc="31C0FC0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8"/>
  <w:hyphenationZone w:val="425"/>
  <w:characterSpacingControl w:val="doNotCompress"/>
  <w:footnotePr>
    <w:footnote w:id="-1"/>
    <w:footnote w:id="0"/>
  </w:footnotePr>
  <w:endnotePr>
    <w:endnote w:id="-1"/>
    <w:endnote w:id="0"/>
  </w:endnotePr>
  <w:compat/>
  <w:rsids>
    <w:rsidRoot w:val="000A2C4C"/>
    <w:rsid w:val="00002AD1"/>
    <w:rsid w:val="000116C9"/>
    <w:rsid w:val="000246C0"/>
    <w:rsid w:val="00027B4D"/>
    <w:rsid w:val="000458D2"/>
    <w:rsid w:val="00061AA1"/>
    <w:rsid w:val="00062090"/>
    <w:rsid w:val="0006258E"/>
    <w:rsid w:val="0007044D"/>
    <w:rsid w:val="00070B03"/>
    <w:rsid w:val="00073D6F"/>
    <w:rsid w:val="00096011"/>
    <w:rsid w:val="000A2C4C"/>
    <w:rsid w:val="000B0C31"/>
    <w:rsid w:val="000C33CC"/>
    <w:rsid w:val="000F12AB"/>
    <w:rsid w:val="000F7F1D"/>
    <w:rsid w:val="00100B32"/>
    <w:rsid w:val="00104604"/>
    <w:rsid w:val="001122DF"/>
    <w:rsid w:val="001309E0"/>
    <w:rsid w:val="001334B5"/>
    <w:rsid w:val="00135274"/>
    <w:rsid w:val="00146D0E"/>
    <w:rsid w:val="00166EAE"/>
    <w:rsid w:val="00191352"/>
    <w:rsid w:val="001A36D6"/>
    <w:rsid w:val="001B6724"/>
    <w:rsid w:val="001B79E7"/>
    <w:rsid w:val="001D1C83"/>
    <w:rsid w:val="002012BC"/>
    <w:rsid w:val="002172A9"/>
    <w:rsid w:val="00224EC8"/>
    <w:rsid w:val="00244A1E"/>
    <w:rsid w:val="00251C26"/>
    <w:rsid w:val="002557B0"/>
    <w:rsid w:val="002606DF"/>
    <w:rsid w:val="00261734"/>
    <w:rsid w:val="00265B0F"/>
    <w:rsid w:val="002944F8"/>
    <w:rsid w:val="00296B8E"/>
    <w:rsid w:val="002B130F"/>
    <w:rsid w:val="002C710D"/>
    <w:rsid w:val="002D100F"/>
    <w:rsid w:val="002D5239"/>
    <w:rsid w:val="002E1D54"/>
    <w:rsid w:val="002E5BA8"/>
    <w:rsid w:val="002F7665"/>
    <w:rsid w:val="00303947"/>
    <w:rsid w:val="0030406E"/>
    <w:rsid w:val="00314FF9"/>
    <w:rsid w:val="003222D2"/>
    <w:rsid w:val="00326B23"/>
    <w:rsid w:val="00336AE4"/>
    <w:rsid w:val="00337067"/>
    <w:rsid w:val="003374A9"/>
    <w:rsid w:val="00343270"/>
    <w:rsid w:val="003436B8"/>
    <w:rsid w:val="00355A95"/>
    <w:rsid w:val="00362E65"/>
    <w:rsid w:val="003876CE"/>
    <w:rsid w:val="003B19C0"/>
    <w:rsid w:val="003F0324"/>
    <w:rsid w:val="003F1628"/>
    <w:rsid w:val="004017A4"/>
    <w:rsid w:val="00402E9D"/>
    <w:rsid w:val="004165BD"/>
    <w:rsid w:val="00440D41"/>
    <w:rsid w:val="004516FC"/>
    <w:rsid w:val="00451D6D"/>
    <w:rsid w:val="004556F5"/>
    <w:rsid w:val="004829FE"/>
    <w:rsid w:val="00486FAD"/>
    <w:rsid w:val="00497AC9"/>
    <w:rsid w:val="004A32E6"/>
    <w:rsid w:val="004A7F78"/>
    <w:rsid w:val="004B4599"/>
    <w:rsid w:val="004C117A"/>
    <w:rsid w:val="004C29F3"/>
    <w:rsid w:val="004E2F8E"/>
    <w:rsid w:val="004F06DA"/>
    <w:rsid w:val="004F6312"/>
    <w:rsid w:val="0052188B"/>
    <w:rsid w:val="00522E88"/>
    <w:rsid w:val="00526CFC"/>
    <w:rsid w:val="005544A0"/>
    <w:rsid w:val="00557CA8"/>
    <w:rsid w:val="00566274"/>
    <w:rsid w:val="00586BD9"/>
    <w:rsid w:val="00591F2A"/>
    <w:rsid w:val="00592701"/>
    <w:rsid w:val="005A07F2"/>
    <w:rsid w:val="005A1865"/>
    <w:rsid w:val="005B4D71"/>
    <w:rsid w:val="005D0D13"/>
    <w:rsid w:val="005D408C"/>
    <w:rsid w:val="005E25BB"/>
    <w:rsid w:val="005E5BAD"/>
    <w:rsid w:val="005F09FE"/>
    <w:rsid w:val="005F3368"/>
    <w:rsid w:val="00604ED4"/>
    <w:rsid w:val="00605E7C"/>
    <w:rsid w:val="00640A2D"/>
    <w:rsid w:val="00674CF2"/>
    <w:rsid w:val="006A313F"/>
    <w:rsid w:val="006E705F"/>
    <w:rsid w:val="006E7C33"/>
    <w:rsid w:val="006F3F78"/>
    <w:rsid w:val="007034F7"/>
    <w:rsid w:val="00704750"/>
    <w:rsid w:val="00705EEC"/>
    <w:rsid w:val="00730915"/>
    <w:rsid w:val="0073661F"/>
    <w:rsid w:val="00744A36"/>
    <w:rsid w:val="00746BC4"/>
    <w:rsid w:val="00754E0E"/>
    <w:rsid w:val="00762C3C"/>
    <w:rsid w:val="0076511D"/>
    <w:rsid w:val="00772E14"/>
    <w:rsid w:val="00775F1F"/>
    <w:rsid w:val="007A7CD6"/>
    <w:rsid w:val="007F1E40"/>
    <w:rsid w:val="007F40BE"/>
    <w:rsid w:val="00801430"/>
    <w:rsid w:val="008143F0"/>
    <w:rsid w:val="008175CA"/>
    <w:rsid w:val="00856288"/>
    <w:rsid w:val="008622A7"/>
    <w:rsid w:val="00870750"/>
    <w:rsid w:val="00870D28"/>
    <w:rsid w:val="00876F31"/>
    <w:rsid w:val="00881D7E"/>
    <w:rsid w:val="00883D58"/>
    <w:rsid w:val="008A36C0"/>
    <w:rsid w:val="008B3D54"/>
    <w:rsid w:val="008D1BE2"/>
    <w:rsid w:val="008D234A"/>
    <w:rsid w:val="008E3FFE"/>
    <w:rsid w:val="008F719C"/>
    <w:rsid w:val="008F7DE4"/>
    <w:rsid w:val="00914270"/>
    <w:rsid w:val="00925A89"/>
    <w:rsid w:val="009319DF"/>
    <w:rsid w:val="009416A6"/>
    <w:rsid w:val="0095188C"/>
    <w:rsid w:val="00955B5E"/>
    <w:rsid w:val="00997EB6"/>
    <w:rsid w:val="009B31C1"/>
    <w:rsid w:val="009B68C5"/>
    <w:rsid w:val="00A043F2"/>
    <w:rsid w:val="00A24263"/>
    <w:rsid w:val="00A354FC"/>
    <w:rsid w:val="00A41673"/>
    <w:rsid w:val="00A80B62"/>
    <w:rsid w:val="00A81C04"/>
    <w:rsid w:val="00AC27E2"/>
    <w:rsid w:val="00AD30E2"/>
    <w:rsid w:val="00AE40D7"/>
    <w:rsid w:val="00AE4CA1"/>
    <w:rsid w:val="00AF78FA"/>
    <w:rsid w:val="00B02861"/>
    <w:rsid w:val="00B06F21"/>
    <w:rsid w:val="00B20E8F"/>
    <w:rsid w:val="00B31B6F"/>
    <w:rsid w:val="00B343D5"/>
    <w:rsid w:val="00B467A6"/>
    <w:rsid w:val="00B56B54"/>
    <w:rsid w:val="00B86486"/>
    <w:rsid w:val="00B86573"/>
    <w:rsid w:val="00BA5CF5"/>
    <w:rsid w:val="00BB6F6E"/>
    <w:rsid w:val="00BC3100"/>
    <w:rsid w:val="00BC6BB3"/>
    <w:rsid w:val="00BE0A8E"/>
    <w:rsid w:val="00BE274F"/>
    <w:rsid w:val="00BE2F87"/>
    <w:rsid w:val="00BE42F8"/>
    <w:rsid w:val="00BF1443"/>
    <w:rsid w:val="00C31562"/>
    <w:rsid w:val="00C340E8"/>
    <w:rsid w:val="00C60D14"/>
    <w:rsid w:val="00C72B4A"/>
    <w:rsid w:val="00C741C2"/>
    <w:rsid w:val="00C758F0"/>
    <w:rsid w:val="00C75AA5"/>
    <w:rsid w:val="00C94819"/>
    <w:rsid w:val="00C96EA1"/>
    <w:rsid w:val="00CE483C"/>
    <w:rsid w:val="00CF0F63"/>
    <w:rsid w:val="00CF2E6D"/>
    <w:rsid w:val="00D15BF8"/>
    <w:rsid w:val="00D5236C"/>
    <w:rsid w:val="00D67E51"/>
    <w:rsid w:val="00D71936"/>
    <w:rsid w:val="00DB5F20"/>
    <w:rsid w:val="00DE3A78"/>
    <w:rsid w:val="00DE5D6C"/>
    <w:rsid w:val="00DE6246"/>
    <w:rsid w:val="00DE7C86"/>
    <w:rsid w:val="00DF1312"/>
    <w:rsid w:val="00DF78B4"/>
    <w:rsid w:val="00E02378"/>
    <w:rsid w:val="00E30CCC"/>
    <w:rsid w:val="00E317C5"/>
    <w:rsid w:val="00E426EE"/>
    <w:rsid w:val="00E42C84"/>
    <w:rsid w:val="00E464D7"/>
    <w:rsid w:val="00E63B95"/>
    <w:rsid w:val="00E74E4D"/>
    <w:rsid w:val="00E90080"/>
    <w:rsid w:val="00E90FB4"/>
    <w:rsid w:val="00E924F1"/>
    <w:rsid w:val="00EA5860"/>
    <w:rsid w:val="00EB131D"/>
    <w:rsid w:val="00EB4489"/>
    <w:rsid w:val="00EB688A"/>
    <w:rsid w:val="00EC09E7"/>
    <w:rsid w:val="00EC4E44"/>
    <w:rsid w:val="00ED2D6D"/>
    <w:rsid w:val="00EE3EE5"/>
    <w:rsid w:val="00F17E9A"/>
    <w:rsid w:val="00F324FA"/>
    <w:rsid w:val="00F371B7"/>
    <w:rsid w:val="00F44309"/>
    <w:rsid w:val="00F452DB"/>
    <w:rsid w:val="00F5570B"/>
    <w:rsid w:val="00F870F9"/>
    <w:rsid w:val="00F935F9"/>
    <w:rsid w:val="00F96763"/>
    <w:rsid w:val="00FA56F7"/>
    <w:rsid w:val="00FB4D5A"/>
    <w:rsid w:val="00FB69DB"/>
    <w:rsid w:val="00FD3121"/>
    <w:rsid w:val="00FD6B9C"/>
    <w:rsid w:val="00FE340F"/>
    <w:rsid w:val="00FE3B2D"/>
    <w:rsid w:val="00FE61C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789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080"/>
    <w:rPr>
      <w:lang w:val="en-US"/>
    </w:rPr>
  </w:style>
  <w:style w:type="paragraph" w:styleId="Ttulo1">
    <w:name w:val="heading 1"/>
    <w:basedOn w:val="Normal"/>
    <w:link w:val="Ttulo1Char"/>
    <w:uiPriority w:val="9"/>
    <w:qFormat/>
    <w:rsid w:val="00265B0F"/>
    <w:pPr>
      <w:spacing w:before="100" w:beforeAutospacing="1" w:after="100" w:afterAutospacing="1" w:line="240" w:lineRule="auto"/>
      <w:outlineLvl w:val="0"/>
    </w:pPr>
    <w:rPr>
      <w:rFonts w:ascii="Times New Roman" w:eastAsia="Times New Roman" w:hAnsi="Times New Roman" w:cs="Times New Roman"/>
      <w:b/>
      <w:bCs/>
      <w:kern w:val="36"/>
      <w:sz w:val="48"/>
      <w:szCs w:val="4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362E65"/>
  </w:style>
  <w:style w:type="character" w:styleId="Hyperlink">
    <w:name w:val="Hyperlink"/>
    <w:basedOn w:val="Fontepargpadro"/>
    <w:uiPriority w:val="99"/>
    <w:unhideWhenUsed/>
    <w:rsid w:val="00A354FC"/>
    <w:rPr>
      <w:color w:val="0000FF" w:themeColor="hyperlink"/>
      <w:u w:val="single"/>
    </w:rPr>
  </w:style>
  <w:style w:type="paragraph" w:styleId="NormalWeb">
    <w:name w:val="Normal (Web)"/>
    <w:basedOn w:val="Normal"/>
    <w:uiPriority w:val="99"/>
    <w:unhideWhenUsed/>
    <w:rsid w:val="004C29F3"/>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07044D"/>
    <w:rPr>
      <w:i/>
      <w:iCs/>
    </w:rPr>
  </w:style>
  <w:style w:type="character" w:customStyle="1" w:styleId="Ttulo1Char">
    <w:name w:val="Título 1 Char"/>
    <w:basedOn w:val="Fontepargpadro"/>
    <w:link w:val="Ttulo1"/>
    <w:uiPriority w:val="9"/>
    <w:rsid w:val="00265B0F"/>
    <w:rPr>
      <w:rFonts w:ascii="Times New Roman" w:eastAsia="Times New Roman" w:hAnsi="Times New Roman" w:cs="Times New Roman"/>
      <w:b/>
      <w:bCs/>
      <w:kern w:val="36"/>
      <w:sz w:val="48"/>
      <w:szCs w:val="48"/>
      <w:lang w:eastAsia="pt-BR"/>
    </w:rPr>
  </w:style>
  <w:style w:type="character" w:customStyle="1" w:styleId="addmd">
    <w:name w:val="addmd"/>
    <w:basedOn w:val="Fontepargpadro"/>
    <w:rsid w:val="00265B0F"/>
  </w:style>
  <w:style w:type="paragraph" w:customStyle="1" w:styleId="Default">
    <w:name w:val="Default"/>
    <w:rsid w:val="00B86486"/>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AF78FA"/>
    <w:pPr>
      <w:spacing w:after="0" w:line="240" w:lineRule="auto"/>
      <w:ind w:left="720"/>
      <w:contextualSpacing/>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754E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0">
    <w:name w:val="A0"/>
    <w:uiPriority w:val="99"/>
    <w:rsid w:val="00557CA8"/>
    <w:rPr>
      <w:rFonts w:cs="Gill Sans MT"/>
      <w:color w:val="000000"/>
      <w:sz w:val="13"/>
      <w:szCs w:val="13"/>
    </w:rPr>
  </w:style>
  <w:style w:type="table" w:styleId="SombreamentoMdio1-nfase5">
    <w:name w:val="Medium Shading 1 Accent 5"/>
    <w:basedOn w:val="Tabelanormal"/>
    <w:uiPriority w:val="63"/>
    <w:rsid w:val="00B56B5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Textodenotaderodap">
    <w:name w:val="footnote text"/>
    <w:basedOn w:val="Normal"/>
    <w:link w:val="TextodenotaderodapChar"/>
    <w:uiPriority w:val="99"/>
    <w:semiHidden/>
    <w:unhideWhenUsed/>
    <w:rsid w:val="00002AD1"/>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02AD1"/>
    <w:rPr>
      <w:sz w:val="20"/>
      <w:szCs w:val="20"/>
      <w:lang w:val="en-US"/>
    </w:rPr>
  </w:style>
  <w:style w:type="character" w:styleId="Refdenotaderodap">
    <w:name w:val="footnote reference"/>
    <w:basedOn w:val="Fontepargpadro"/>
    <w:uiPriority w:val="99"/>
    <w:semiHidden/>
    <w:unhideWhenUsed/>
    <w:rsid w:val="00002AD1"/>
    <w:rPr>
      <w:vertAlign w:val="superscript"/>
    </w:rPr>
  </w:style>
</w:styles>
</file>

<file path=word/webSettings.xml><?xml version="1.0" encoding="utf-8"?>
<w:webSettings xmlns:r="http://schemas.openxmlformats.org/officeDocument/2006/relationships" xmlns:w="http://schemas.openxmlformats.org/wordprocessingml/2006/main">
  <w:divs>
    <w:div w:id="60100945">
      <w:bodyDiv w:val="1"/>
      <w:marLeft w:val="0"/>
      <w:marRight w:val="0"/>
      <w:marTop w:val="0"/>
      <w:marBottom w:val="0"/>
      <w:divBdr>
        <w:top w:val="none" w:sz="0" w:space="0" w:color="auto"/>
        <w:left w:val="none" w:sz="0" w:space="0" w:color="auto"/>
        <w:bottom w:val="none" w:sz="0" w:space="0" w:color="auto"/>
        <w:right w:val="none" w:sz="0" w:space="0" w:color="auto"/>
      </w:divBdr>
    </w:div>
    <w:div w:id="156969596">
      <w:bodyDiv w:val="1"/>
      <w:marLeft w:val="0"/>
      <w:marRight w:val="0"/>
      <w:marTop w:val="0"/>
      <w:marBottom w:val="0"/>
      <w:divBdr>
        <w:top w:val="none" w:sz="0" w:space="0" w:color="auto"/>
        <w:left w:val="none" w:sz="0" w:space="0" w:color="auto"/>
        <w:bottom w:val="none" w:sz="0" w:space="0" w:color="auto"/>
        <w:right w:val="none" w:sz="0" w:space="0" w:color="auto"/>
      </w:divBdr>
    </w:div>
    <w:div w:id="477889050">
      <w:bodyDiv w:val="1"/>
      <w:marLeft w:val="0"/>
      <w:marRight w:val="0"/>
      <w:marTop w:val="0"/>
      <w:marBottom w:val="0"/>
      <w:divBdr>
        <w:top w:val="none" w:sz="0" w:space="0" w:color="auto"/>
        <w:left w:val="none" w:sz="0" w:space="0" w:color="auto"/>
        <w:bottom w:val="none" w:sz="0" w:space="0" w:color="auto"/>
        <w:right w:val="none" w:sz="0" w:space="0" w:color="auto"/>
      </w:divBdr>
    </w:div>
    <w:div w:id="834422184">
      <w:bodyDiv w:val="1"/>
      <w:marLeft w:val="0"/>
      <w:marRight w:val="0"/>
      <w:marTop w:val="0"/>
      <w:marBottom w:val="0"/>
      <w:divBdr>
        <w:top w:val="none" w:sz="0" w:space="0" w:color="auto"/>
        <w:left w:val="none" w:sz="0" w:space="0" w:color="auto"/>
        <w:bottom w:val="none" w:sz="0" w:space="0" w:color="auto"/>
        <w:right w:val="none" w:sz="0" w:space="0" w:color="auto"/>
      </w:divBdr>
    </w:div>
    <w:div w:id="1659534480">
      <w:bodyDiv w:val="1"/>
      <w:marLeft w:val="0"/>
      <w:marRight w:val="0"/>
      <w:marTop w:val="0"/>
      <w:marBottom w:val="0"/>
      <w:divBdr>
        <w:top w:val="none" w:sz="0" w:space="0" w:color="auto"/>
        <w:left w:val="none" w:sz="0" w:space="0" w:color="auto"/>
        <w:bottom w:val="none" w:sz="0" w:space="0" w:color="auto"/>
        <w:right w:val="none" w:sz="0" w:space="0" w:color="auto"/>
      </w:divBdr>
    </w:div>
    <w:div w:id="182061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eis_2001/l10172.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fmg.br/congrext/Gestao/Gestao12.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io.ufsc.br/bitstream/handle/123456789/136064/101_00175.pdf?sequence=1&amp;isAllowed=y" TargetMode="External"/><Relationship Id="rId5" Type="http://schemas.openxmlformats.org/officeDocument/2006/relationships/webSettings" Target="webSettings.xml"/><Relationship Id="rId10" Type="http://schemas.openxmlformats.org/officeDocument/2006/relationships/hyperlink" Target="https://www.ufmg.br/proex/renex/documentos/2012-07-13-Politica-Nacional-de-Extensao.pdf" TargetMode="External"/><Relationship Id="rId4" Type="http://schemas.openxmlformats.org/officeDocument/2006/relationships/settings" Target="settings.xml"/><Relationship Id="rId9" Type="http://schemas.openxmlformats.org/officeDocument/2006/relationships/hyperlink" Target="https://www.ufmg.br/proex/renex/documentos/Encontro-Nacional/1987-I-Encontro-Nacional-do-FORPROEX.pdf"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259AD-801A-41DF-8E68-9F85173D4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6445</Words>
  <Characters>34807</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nenhum</dc:creator>
  <cp:lastModifiedBy>nenhum</cp:lastModifiedBy>
  <cp:revision>5</cp:revision>
  <cp:lastPrinted>2017-11-20T13:12:00Z</cp:lastPrinted>
  <dcterms:created xsi:type="dcterms:W3CDTF">2017-11-19T23:11:00Z</dcterms:created>
  <dcterms:modified xsi:type="dcterms:W3CDTF">2017-11-20T14:21:00Z</dcterms:modified>
</cp:coreProperties>
</file>