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800" w:rsidRPr="00383DDA" w:rsidRDefault="00AB7800" w:rsidP="007A03D4">
      <w:pPr>
        <w:spacing w:after="120" w:line="36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383DDA">
        <w:rPr>
          <w:rFonts w:ascii="Garamond" w:hAnsi="Garamond" w:cs="Times New Roman"/>
          <w:b/>
          <w:sz w:val="24"/>
          <w:szCs w:val="24"/>
        </w:rPr>
        <w:t>Gráfico 1 - Preços médios dos escravos no mercado bonfinense (em réis) por sexo e faixa etária: Bonfim do Paraopeba, 1860-1888.</w:t>
      </w:r>
    </w:p>
    <w:p w:rsidR="00AB7800" w:rsidRPr="006B4E67" w:rsidRDefault="00AB7800" w:rsidP="007A03D4">
      <w:pPr>
        <w:spacing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383DDA">
        <w:rPr>
          <w:rFonts w:ascii="Garamond" w:hAnsi="Garamond" w:cs="Times New Roman"/>
          <w:noProof/>
          <w:sz w:val="24"/>
          <w:szCs w:val="24"/>
        </w:rPr>
        <w:drawing>
          <wp:inline distT="0" distB="0" distL="0" distR="0">
            <wp:extent cx="5757435" cy="1932167"/>
            <wp:effectExtent l="19050" t="0" r="14715" b="0"/>
            <wp:docPr id="7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B7800" w:rsidRDefault="00AB7800" w:rsidP="00AB7800">
      <w:pPr>
        <w:spacing w:after="120" w:line="360" w:lineRule="auto"/>
        <w:jc w:val="both"/>
        <w:rPr>
          <w:rFonts w:ascii="Garamond" w:hAnsi="Garamond" w:cs="Times New Roman"/>
          <w:sz w:val="20"/>
          <w:szCs w:val="20"/>
        </w:rPr>
      </w:pPr>
      <w:r w:rsidRPr="00383DDA">
        <w:rPr>
          <w:rFonts w:ascii="Garamond" w:hAnsi="Garamond" w:cs="Times New Roman"/>
          <w:sz w:val="20"/>
          <w:szCs w:val="20"/>
        </w:rPr>
        <w:t>Fonte: Livros Notariais do 1º e 2º Ofício – APMB.</w:t>
      </w:r>
    </w:p>
    <w:p w:rsidR="0005588F" w:rsidRDefault="0005588F" w:rsidP="00AB7800">
      <w:pPr>
        <w:spacing w:after="120" w:line="360" w:lineRule="auto"/>
        <w:jc w:val="both"/>
        <w:rPr>
          <w:rFonts w:ascii="Garamond" w:hAnsi="Garamond" w:cs="Times New Roman"/>
          <w:sz w:val="20"/>
          <w:szCs w:val="20"/>
        </w:rPr>
      </w:pPr>
    </w:p>
    <w:p w:rsidR="0005588F" w:rsidRDefault="0005588F" w:rsidP="00AB7800">
      <w:pPr>
        <w:spacing w:after="120" w:line="360" w:lineRule="auto"/>
        <w:jc w:val="both"/>
        <w:rPr>
          <w:rFonts w:ascii="Garamond" w:hAnsi="Garamond" w:cs="Times New Roman"/>
          <w:sz w:val="20"/>
          <w:szCs w:val="20"/>
        </w:rPr>
      </w:pPr>
    </w:p>
    <w:p w:rsidR="00AB7800" w:rsidRPr="00383DDA" w:rsidRDefault="00AB7800" w:rsidP="0005588F">
      <w:pPr>
        <w:spacing w:after="0" w:line="360" w:lineRule="auto"/>
        <w:jc w:val="center"/>
        <w:rPr>
          <w:rFonts w:ascii="Garamond" w:hAnsi="Garamond" w:cs="Times New Roman"/>
          <w:sz w:val="20"/>
          <w:szCs w:val="20"/>
        </w:rPr>
      </w:pPr>
      <w:r w:rsidRPr="00383DDA">
        <w:rPr>
          <w:rFonts w:ascii="Garamond" w:hAnsi="Garamond" w:cs="Times New Roman"/>
          <w:b/>
          <w:sz w:val="24"/>
          <w:szCs w:val="24"/>
        </w:rPr>
        <w:t xml:space="preserve">Gráfico </w:t>
      </w:r>
      <w:r>
        <w:rPr>
          <w:rFonts w:ascii="Garamond" w:hAnsi="Garamond" w:cs="Times New Roman"/>
          <w:b/>
          <w:sz w:val="24"/>
          <w:szCs w:val="24"/>
        </w:rPr>
        <w:t>2</w:t>
      </w:r>
      <w:r w:rsidRPr="00383DDA">
        <w:rPr>
          <w:rFonts w:ascii="Garamond" w:hAnsi="Garamond" w:cs="Times New Roman"/>
          <w:b/>
          <w:sz w:val="24"/>
          <w:szCs w:val="24"/>
        </w:rPr>
        <w:t xml:space="preserve"> – Preços médios dos escravos de 15 a 39 anos no mercado bonfinense (em réis) por década e sexo, em comparação aos preços médios do período 1860-1888: Bonfim do Paraopeba, 18</w:t>
      </w:r>
      <w:r>
        <w:rPr>
          <w:rFonts w:ascii="Garamond" w:hAnsi="Garamond" w:cs="Times New Roman"/>
          <w:b/>
          <w:sz w:val="24"/>
          <w:szCs w:val="24"/>
        </w:rPr>
        <w:t>60</w:t>
      </w:r>
      <w:r w:rsidRPr="00383DDA">
        <w:rPr>
          <w:rFonts w:ascii="Garamond" w:hAnsi="Garamond" w:cs="Times New Roman"/>
          <w:b/>
          <w:sz w:val="24"/>
          <w:szCs w:val="24"/>
        </w:rPr>
        <w:t>-1888</w:t>
      </w:r>
      <w:r w:rsidRPr="00383DDA">
        <w:rPr>
          <w:rFonts w:ascii="Garamond" w:hAnsi="Garamond" w:cs="Times New Roman"/>
          <w:b/>
          <w:sz w:val="20"/>
          <w:szCs w:val="20"/>
        </w:rPr>
        <w:t>.</w:t>
      </w:r>
      <w:r w:rsidRPr="00383DDA">
        <w:rPr>
          <w:rFonts w:ascii="Garamond" w:hAnsi="Garamond" w:cs="Times New Roman"/>
          <w:noProof/>
          <w:sz w:val="20"/>
          <w:szCs w:val="20"/>
        </w:rPr>
        <w:drawing>
          <wp:inline distT="0" distB="0" distL="0" distR="0">
            <wp:extent cx="5885622" cy="2075291"/>
            <wp:effectExtent l="19050" t="0" r="19878" b="1159"/>
            <wp:docPr id="9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B7800" w:rsidRDefault="00AB7800" w:rsidP="0005588F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383DDA">
        <w:rPr>
          <w:rFonts w:ascii="Garamond" w:hAnsi="Garamond" w:cs="Times New Roman"/>
          <w:sz w:val="20"/>
          <w:szCs w:val="20"/>
        </w:rPr>
        <w:t>Fonte: Livros Notariais do 1º e 2º Ofício – APMB.</w:t>
      </w:r>
    </w:p>
    <w:p w:rsidR="00AB7800" w:rsidRDefault="00AB7800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8D0DA9" w:rsidRDefault="008D0DA9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05588F" w:rsidRDefault="0005588F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05588F" w:rsidRDefault="0005588F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05588F" w:rsidRDefault="0005588F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05588F" w:rsidRDefault="0005588F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05588F" w:rsidRDefault="0005588F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05588F" w:rsidRDefault="0005588F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05588F" w:rsidRDefault="0005588F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05588F" w:rsidRDefault="0005588F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8D0DA9" w:rsidRPr="008D0DA9" w:rsidRDefault="008D0DA9" w:rsidP="008D0DA9">
      <w:pPr>
        <w:spacing w:after="120" w:line="360" w:lineRule="auto"/>
        <w:ind w:right="-1"/>
        <w:jc w:val="center"/>
        <w:rPr>
          <w:rFonts w:ascii="Garamond" w:eastAsiaTheme="minorEastAsia" w:hAnsi="Garamond" w:cs="Times New Roman"/>
          <w:b/>
          <w:sz w:val="24"/>
          <w:szCs w:val="24"/>
          <w:lang w:eastAsia="pt-BR"/>
        </w:rPr>
      </w:pPr>
      <w:r w:rsidRPr="008D0DA9">
        <w:rPr>
          <w:rFonts w:ascii="Garamond" w:eastAsiaTheme="minorEastAsia" w:hAnsi="Garamond" w:cs="Times New Roman"/>
          <w:b/>
          <w:sz w:val="24"/>
          <w:szCs w:val="24"/>
          <w:lang w:eastAsia="pt-BR"/>
        </w:rPr>
        <w:t>Gráfico 3 – Municípios de residência dos transmitentes e adquirentes não bonfinenses e suas respectivas distâncias (em km) em relação ao município de Bonfim (1860-1888).</w:t>
      </w:r>
      <w:r w:rsidRPr="008D0DA9">
        <w:rPr>
          <w:rFonts w:ascii="Garamond" w:eastAsiaTheme="minorEastAsia" w:hAnsi="Garamond" w:cs="Times New Roman"/>
          <w:sz w:val="24"/>
          <w:szCs w:val="24"/>
          <w:lang w:eastAsia="pt-BR"/>
        </w:rPr>
        <w:t xml:space="preserve"> </w:t>
      </w:r>
    </w:p>
    <w:p w:rsidR="008D0DA9" w:rsidRPr="008D0DA9" w:rsidRDefault="008D0DA9" w:rsidP="008D0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pt-BR"/>
        </w:rPr>
      </w:pPr>
      <w:r w:rsidRPr="008D0DA9">
        <w:rPr>
          <w:rFonts w:ascii="Times New Roman" w:eastAsiaTheme="minorEastAsia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612130" cy="3409950"/>
            <wp:effectExtent l="0" t="0" r="0" b="0"/>
            <wp:docPr id="3" name="Gráfico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D0DA9" w:rsidRPr="008D0DA9" w:rsidRDefault="008D0DA9" w:rsidP="008D0DA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pt-BR"/>
        </w:rPr>
      </w:pPr>
    </w:p>
    <w:p w:rsidR="008D0DA9" w:rsidRPr="008D0DA9" w:rsidRDefault="008D0DA9" w:rsidP="008D0DA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"/>
        <w:jc w:val="both"/>
        <w:rPr>
          <w:rFonts w:ascii="Garamond" w:eastAsiaTheme="minorEastAsia" w:hAnsi="Garamond" w:cs="Times New Roman"/>
          <w:b/>
          <w:sz w:val="20"/>
          <w:szCs w:val="20"/>
          <w:lang w:eastAsia="pt-BR"/>
        </w:rPr>
      </w:pPr>
      <w:r w:rsidRPr="008D0DA9">
        <w:rPr>
          <w:rFonts w:ascii="Garamond" w:eastAsiaTheme="minorEastAsia" w:hAnsi="Garamond" w:cs="Times New Roman"/>
          <w:b/>
          <w:sz w:val="20"/>
          <w:szCs w:val="20"/>
          <w:lang w:eastAsia="pt-BR"/>
        </w:rPr>
        <w:t>Legenda:</w:t>
      </w:r>
    </w:p>
    <w:p w:rsidR="008D0DA9" w:rsidRPr="008D0DA9" w:rsidRDefault="008D0DA9" w:rsidP="008D0DA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"/>
        <w:jc w:val="both"/>
        <w:rPr>
          <w:rFonts w:ascii="Garamond" w:eastAsiaTheme="minorEastAsia" w:hAnsi="Garamond" w:cs="Times New Roman"/>
          <w:sz w:val="20"/>
          <w:szCs w:val="20"/>
          <w:lang w:eastAsia="pt-BR"/>
        </w:rPr>
      </w:pPr>
      <w:r w:rsidRPr="008D0DA9">
        <w:rPr>
          <w:rFonts w:ascii="Garamond" w:eastAsiaTheme="minorEastAsia" w:hAnsi="Garamond" w:cs="Times New Roman"/>
          <w:sz w:val="20"/>
          <w:szCs w:val="20"/>
          <w:lang w:eastAsia="pt-BR"/>
        </w:rPr>
        <w:t xml:space="preserve">1 – Municípios da região Mineradora Central Oeste; 2 – Municípios da região Intermediária de </w:t>
      </w:r>
      <w:proofErr w:type="spellStart"/>
      <w:r w:rsidRPr="008D0DA9">
        <w:rPr>
          <w:rFonts w:ascii="Garamond" w:eastAsiaTheme="minorEastAsia" w:hAnsi="Garamond" w:cs="Times New Roman"/>
          <w:sz w:val="20"/>
          <w:szCs w:val="20"/>
          <w:lang w:eastAsia="pt-BR"/>
        </w:rPr>
        <w:t>Pitangui-Tamanduá</w:t>
      </w:r>
      <w:proofErr w:type="spellEnd"/>
      <w:r w:rsidRPr="008D0DA9">
        <w:rPr>
          <w:rFonts w:ascii="Garamond" w:eastAsiaTheme="minorEastAsia" w:hAnsi="Garamond" w:cs="Times New Roman"/>
          <w:sz w:val="20"/>
          <w:szCs w:val="20"/>
          <w:lang w:eastAsia="pt-BR"/>
        </w:rPr>
        <w:t xml:space="preserve">; 3 – Municípios da região do Vale do </w:t>
      </w:r>
      <w:proofErr w:type="spellStart"/>
      <w:r w:rsidRPr="008D0DA9">
        <w:rPr>
          <w:rFonts w:ascii="Garamond" w:eastAsiaTheme="minorEastAsia" w:hAnsi="Garamond" w:cs="Times New Roman"/>
          <w:sz w:val="20"/>
          <w:szCs w:val="20"/>
          <w:lang w:eastAsia="pt-BR"/>
        </w:rPr>
        <w:t>Médio-Baixo</w:t>
      </w:r>
      <w:proofErr w:type="spellEnd"/>
      <w:r w:rsidRPr="008D0DA9">
        <w:rPr>
          <w:rFonts w:ascii="Garamond" w:eastAsiaTheme="minorEastAsia" w:hAnsi="Garamond" w:cs="Times New Roman"/>
          <w:sz w:val="20"/>
          <w:szCs w:val="20"/>
          <w:lang w:eastAsia="pt-BR"/>
        </w:rPr>
        <w:t xml:space="preserve"> Rio das Velhas; 4 – Municípios da região Sudeste; 5 - Municípios da região Sul Central; 6 – Municípios da região Sudoeste; 7 - Municípios da região da Mata; 8 - Municípios da região de Araxá; 9 – Municípios da região Sertão, 10 – Municípios da região Triângulo; 11 – Municípios da província do Rio de Janeiro.</w:t>
      </w:r>
    </w:p>
    <w:p w:rsidR="008D0DA9" w:rsidRPr="008D0DA9" w:rsidRDefault="008D0DA9" w:rsidP="008D0DA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pt-BR"/>
        </w:rPr>
      </w:pPr>
    </w:p>
    <w:p w:rsidR="008D0DA9" w:rsidRPr="008D0DA9" w:rsidRDefault="008D0DA9" w:rsidP="008D0DA9">
      <w:pPr>
        <w:spacing w:after="0" w:line="240" w:lineRule="auto"/>
        <w:ind w:right="-1"/>
        <w:jc w:val="both"/>
        <w:rPr>
          <w:rFonts w:ascii="Garamond" w:eastAsiaTheme="minorEastAsia" w:hAnsi="Garamond" w:cs="Times New Roman"/>
          <w:sz w:val="20"/>
          <w:szCs w:val="20"/>
          <w:lang w:eastAsia="pt-BR"/>
        </w:rPr>
      </w:pPr>
      <w:r w:rsidRPr="008D0DA9">
        <w:rPr>
          <w:rFonts w:ascii="Garamond" w:eastAsiaTheme="minorEastAsia" w:hAnsi="Garamond" w:cs="Times New Roman"/>
          <w:sz w:val="20"/>
          <w:szCs w:val="20"/>
          <w:lang w:eastAsia="pt-BR"/>
        </w:rPr>
        <w:t xml:space="preserve">Fonte: Livros Notariais do 1º e 2º Ofício – APMB. Elaboração própria a partir dos dados sobre </w:t>
      </w:r>
      <w:proofErr w:type="gramStart"/>
      <w:r w:rsidRPr="008D0DA9">
        <w:rPr>
          <w:rFonts w:ascii="Garamond" w:eastAsiaTheme="minorEastAsia" w:hAnsi="Garamond" w:cs="Times New Roman"/>
          <w:sz w:val="20"/>
          <w:szCs w:val="20"/>
          <w:lang w:eastAsia="pt-BR"/>
        </w:rPr>
        <w:t>distâncias informados</w:t>
      </w:r>
      <w:proofErr w:type="gramEnd"/>
      <w:r w:rsidRPr="008D0DA9">
        <w:rPr>
          <w:rFonts w:ascii="Garamond" w:eastAsiaTheme="minorEastAsia" w:hAnsi="Garamond" w:cs="Times New Roman"/>
          <w:sz w:val="20"/>
          <w:szCs w:val="20"/>
          <w:lang w:eastAsia="pt-BR"/>
        </w:rPr>
        <w:t xml:space="preserve"> pelo site </w:t>
      </w:r>
      <w:hyperlink r:id="rId8" w:history="1">
        <w:r w:rsidRPr="008D0DA9">
          <w:rPr>
            <w:rFonts w:ascii="Garamond" w:eastAsiaTheme="minorEastAsia" w:hAnsi="Garamond" w:cs="Times New Roman"/>
            <w:color w:val="0000FF" w:themeColor="hyperlink"/>
            <w:sz w:val="20"/>
            <w:u w:val="single"/>
            <w:lang w:eastAsia="pt-BR"/>
          </w:rPr>
          <w:t>https://www.google.com.br/maps</w:t>
        </w:r>
      </w:hyperlink>
      <w:r w:rsidRPr="008D0DA9">
        <w:rPr>
          <w:rFonts w:ascii="Garamond" w:eastAsiaTheme="minorEastAsia" w:hAnsi="Garamond" w:cs="Times New Roman"/>
          <w:sz w:val="20"/>
          <w:szCs w:val="20"/>
          <w:lang w:eastAsia="pt-BR"/>
        </w:rPr>
        <w:t>.</w:t>
      </w:r>
    </w:p>
    <w:p w:rsidR="008D0DA9" w:rsidRPr="008D0DA9" w:rsidRDefault="008D0DA9" w:rsidP="008D0DA9">
      <w:pPr>
        <w:spacing w:after="0" w:line="240" w:lineRule="auto"/>
        <w:ind w:right="-1"/>
        <w:jc w:val="both"/>
        <w:rPr>
          <w:rFonts w:ascii="Garamond" w:eastAsiaTheme="minorEastAsia" w:hAnsi="Garamond" w:cs="Times New Roman"/>
          <w:sz w:val="20"/>
          <w:szCs w:val="20"/>
          <w:lang w:eastAsia="pt-BR"/>
        </w:rPr>
      </w:pPr>
      <w:r w:rsidRPr="008D0DA9">
        <w:rPr>
          <w:rFonts w:ascii="Garamond" w:eastAsiaTheme="minorEastAsia" w:hAnsi="Garamond" w:cs="Times New Roman"/>
          <w:sz w:val="20"/>
          <w:szCs w:val="20"/>
          <w:lang w:eastAsia="pt-BR"/>
        </w:rPr>
        <w:t xml:space="preserve">Obs. 1: distâncias atuais entre os municípios, calculadas a partir de suas conexões rodoviárias. </w:t>
      </w:r>
    </w:p>
    <w:p w:rsidR="008D0DA9" w:rsidRPr="008D0DA9" w:rsidRDefault="008D0DA9" w:rsidP="008D0DA9">
      <w:pPr>
        <w:spacing w:line="240" w:lineRule="auto"/>
        <w:ind w:right="-1"/>
        <w:jc w:val="both"/>
        <w:rPr>
          <w:rFonts w:ascii="Garamond" w:eastAsiaTheme="minorEastAsia" w:hAnsi="Garamond" w:cs="Times New Roman"/>
          <w:sz w:val="20"/>
          <w:szCs w:val="20"/>
          <w:lang w:eastAsia="pt-BR"/>
        </w:rPr>
      </w:pPr>
      <w:r w:rsidRPr="008D0DA9">
        <w:rPr>
          <w:rFonts w:ascii="Garamond" w:eastAsiaTheme="minorEastAsia" w:hAnsi="Garamond" w:cs="Times New Roman"/>
          <w:sz w:val="20"/>
          <w:szCs w:val="20"/>
          <w:lang w:eastAsia="pt-BR"/>
        </w:rPr>
        <w:t xml:space="preserve">Obs. 2: Regionalização conforme relação apresentada por PAIVA, Clotilde Andrade. </w:t>
      </w:r>
      <w:r w:rsidRPr="008D0DA9">
        <w:rPr>
          <w:rFonts w:ascii="Garamond" w:eastAsiaTheme="minorEastAsia" w:hAnsi="Garamond" w:cs="Times New Roman"/>
          <w:i/>
          <w:sz w:val="20"/>
          <w:szCs w:val="20"/>
          <w:lang w:eastAsia="pt-BR"/>
        </w:rPr>
        <w:t>População e economia nas Minas Gerais do século XIX</w:t>
      </w:r>
      <w:r w:rsidRPr="008D0DA9">
        <w:rPr>
          <w:rFonts w:ascii="Garamond" w:eastAsiaTheme="minorEastAsia" w:hAnsi="Garamond" w:cs="Times New Roman"/>
          <w:sz w:val="20"/>
          <w:szCs w:val="20"/>
          <w:lang w:eastAsia="pt-BR"/>
        </w:rPr>
        <w:t>. São Paulo: FFLCH/USP, 1996, pp. 166-180.</w:t>
      </w:r>
    </w:p>
    <w:p w:rsidR="008D0DA9" w:rsidRDefault="008D0DA9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05588F" w:rsidRDefault="0005588F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05588F" w:rsidRDefault="0005588F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05588F" w:rsidRDefault="0005588F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05588F" w:rsidRDefault="0005588F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05588F" w:rsidRDefault="0005588F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05588F" w:rsidRDefault="0005588F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05588F" w:rsidRDefault="0005588F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05588F" w:rsidRDefault="0005588F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8D0DA9" w:rsidRPr="00A604EB" w:rsidRDefault="008D0DA9" w:rsidP="008D0DA9">
      <w:pPr>
        <w:spacing w:after="120" w:line="36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A604EB">
        <w:rPr>
          <w:rFonts w:ascii="Garamond" w:hAnsi="Garamond" w:cs="Times New Roman"/>
          <w:b/>
          <w:sz w:val="24"/>
          <w:szCs w:val="24"/>
        </w:rPr>
        <w:lastRenderedPageBreak/>
        <w:t>Tabela 1 – Principais grupos de negociantes segundo ocorrência e quantidade de escravos negociados</w:t>
      </w:r>
      <w:r>
        <w:rPr>
          <w:rFonts w:ascii="Garamond" w:hAnsi="Garamond" w:cs="Times New Roman"/>
          <w:b/>
          <w:sz w:val="24"/>
          <w:szCs w:val="24"/>
        </w:rPr>
        <w:t>: Bonfim do Paraopeba, 1860-1888.</w:t>
      </w:r>
    </w:p>
    <w:tbl>
      <w:tblPr>
        <w:tblStyle w:val="Tabelacomgrade"/>
        <w:tblW w:w="8991" w:type="dxa"/>
        <w:jc w:val="center"/>
        <w:tblInd w:w="-1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77"/>
        <w:gridCol w:w="1275"/>
        <w:gridCol w:w="1090"/>
        <w:gridCol w:w="1314"/>
        <w:gridCol w:w="1295"/>
        <w:gridCol w:w="1589"/>
        <w:gridCol w:w="1151"/>
      </w:tblGrid>
      <w:tr w:rsidR="008D0DA9" w:rsidRPr="00840D51" w:rsidTr="00032585">
        <w:trPr>
          <w:jc w:val="center"/>
        </w:trPr>
        <w:tc>
          <w:tcPr>
            <w:tcW w:w="12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b/>
                <w:sz w:val="20"/>
                <w:szCs w:val="20"/>
              </w:rPr>
              <w:t>Grupos de negociantes e seus períodos de atuação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b/>
                <w:sz w:val="20"/>
                <w:szCs w:val="20"/>
              </w:rPr>
              <w:t>Ocorrências em escrituras*</w:t>
            </w:r>
          </w:p>
        </w:tc>
        <w:tc>
          <w:tcPr>
            <w:tcW w:w="10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b/>
                <w:sz w:val="20"/>
                <w:szCs w:val="20"/>
              </w:rPr>
              <w:t>% do total de escrituras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b/>
                <w:sz w:val="20"/>
                <w:szCs w:val="20"/>
              </w:rPr>
              <w:t>Ocorrências em procurações**</w:t>
            </w:r>
          </w:p>
        </w:tc>
        <w:tc>
          <w:tcPr>
            <w:tcW w:w="12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b/>
                <w:sz w:val="20"/>
                <w:szCs w:val="20"/>
              </w:rPr>
              <w:t>% do total de procurações</w:t>
            </w: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  <w:vertAlign w:val="superscript"/>
              </w:rPr>
            </w:pPr>
            <w:r w:rsidRPr="00840D51">
              <w:rPr>
                <w:rFonts w:ascii="Garamond" w:hAnsi="Garamond" w:cs="Times New Roman"/>
                <w:b/>
                <w:sz w:val="20"/>
                <w:szCs w:val="20"/>
              </w:rPr>
              <w:t>Quantidade de escravos efetivamente negociados***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b/>
                <w:sz w:val="20"/>
                <w:szCs w:val="20"/>
              </w:rPr>
              <w:t xml:space="preserve">% do total de escravos </w:t>
            </w:r>
          </w:p>
        </w:tc>
      </w:tr>
      <w:tr w:rsidR="008D0DA9" w:rsidRPr="00840D51" w:rsidTr="00032585">
        <w:trPr>
          <w:jc w:val="center"/>
        </w:trPr>
        <w:tc>
          <w:tcPr>
            <w:tcW w:w="12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b/>
                <w:sz w:val="20"/>
                <w:szCs w:val="20"/>
              </w:rPr>
              <w:t>A</w:t>
            </w:r>
          </w:p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sz w:val="20"/>
                <w:szCs w:val="20"/>
              </w:rPr>
              <w:t>(décadas de 1860 - 1880)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sz w:val="20"/>
                <w:szCs w:val="20"/>
              </w:rPr>
              <w:t>13</w:t>
            </w:r>
          </w:p>
        </w:tc>
        <w:tc>
          <w:tcPr>
            <w:tcW w:w="10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sz w:val="20"/>
                <w:szCs w:val="20"/>
              </w:rPr>
              <w:t>5,5%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sz w:val="20"/>
                <w:szCs w:val="20"/>
              </w:rPr>
              <w:t>11</w:t>
            </w:r>
          </w:p>
        </w:tc>
        <w:tc>
          <w:tcPr>
            <w:tcW w:w="12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sz w:val="20"/>
                <w:szCs w:val="20"/>
              </w:rPr>
              <w:t>9%</w:t>
            </w: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sz w:val="20"/>
                <w:szCs w:val="20"/>
              </w:rPr>
              <w:t xml:space="preserve">3,7% </w:t>
            </w:r>
          </w:p>
        </w:tc>
      </w:tr>
      <w:tr w:rsidR="008D0DA9" w:rsidRPr="00840D51" w:rsidTr="00032585">
        <w:trPr>
          <w:jc w:val="center"/>
        </w:trPr>
        <w:tc>
          <w:tcPr>
            <w:tcW w:w="12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b/>
                <w:sz w:val="20"/>
                <w:szCs w:val="20"/>
              </w:rPr>
              <w:t>B</w:t>
            </w:r>
          </w:p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sz w:val="20"/>
                <w:szCs w:val="20"/>
              </w:rPr>
              <w:t>(décadas de 1860 e 1870)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840D51">
              <w:rPr>
                <w:rFonts w:ascii="Garamond" w:hAnsi="Garamond" w:cs="Times New Roman"/>
                <w:sz w:val="20"/>
                <w:szCs w:val="20"/>
              </w:rPr>
              <w:t>9</w:t>
            </w:r>
            <w:proofErr w:type="gramEnd"/>
          </w:p>
        </w:tc>
        <w:tc>
          <w:tcPr>
            <w:tcW w:w="10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sz w:val="20"/>
                <w:szCs w:val="20"/>
              </w:rPr>
              <w:t>3,8%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840D51">
              <w:rPr>
                <w:rFonts w:ascii="Garamond" w:hAnsi="Garamond" w:cs="Times New Roman"/>
                <w:sz w:val="20"/>
                <w:szCs w:val="20"/>
              </w:rPr>
              <w:t>6</w:t>
            </w:r>
            <w:proofErr w:type="gramEnd"/>
          </w:p>
        </w:tc>
        <w:tc>
          <w:tcPr>
            <w:tcW w:w="12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sz w:val="20"/>
                <w:szCs w:val="20"/>
              </w:rPr>
              <w:t>5%</w:t>
            </w: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sz w:val="20"/>
                <w:szCs w:val="20"/>
              </w:rPr>
              <w:t xml:space="preserve">30 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sz w:val="20"/>
                <w:szCs w:val="20"/>
              </w:rPr>
              <w:t xml:space="preserve">5,3% </w:t>
            </w:r>
          </w:p>
        </w:tc>
      </w:tr>
      <w:tr w:rsidR="008D0DA9" w:rsidRPr="00840D51" w:rsidTr="00032585">
        <w:trPr>
          <w:jc w:val="center"/>
        </w:trPr>
        <w:tc>
          <w:tcPr>
            <w:tcW w:w="12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b/>
                <w:sz w:val="20"/>
                <w:szCs w:val="20"/>
              </w:rPr>
              <w:t>C</w:t>
            </w:r>
          </w:p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sz w:val="20"/>
                <w:szCs w:val="20"/>
              </w:rPr>
              <w:t>(décadas de 1870 e 1880)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sz w:val="20"/>
                <w:szCs w:val="20"/>
              </w:rPr>
              <w:t>13</w:t>
            </w:r>
          </w:p>
        </w:tc>
        <w:tc>
          <w:tcPr>
            <w:tcW w:w="10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sz w:val="20"/>
                <w:szCs w:val="20"/>
              </w:rPr>
              <w:t>5,5%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sz w:val="20"/>
                <w:szCs w:val="20"/>
              </w:rPr>
              <w:t>56</w:t>
            </w:r>
          </w:p>
        </w:tc>
        <w:tc>
          <w:tcPr>
            <w:tcW w:w="12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sz w:val="20"/>
                <w:szCs w:val="20"/>
              </w:rPr>
              <w:t>46,3%</w:t>
            </w: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sz w:val="20"/>
                <w:szCs w:val="20"/>
              </w:rPr>
              <w:t xml:space="preserve">68 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sz w:val="20"/>
                <w:szCs w:val="20"/>
              </w:rPr>
              <w:t xml:space="preserve">12% </w:t>
            </w:r>
          </w:p>
        </w:tc>
      </w:tr>
      <w:tr w:rsidR="008D0DA9" w:rsidRPr="00840D51" w:rsidTr="00032585">
        <w:trPr>
          <w:jc w:val="center"/>
        </w:trPr>
        <w:tc>
          <w:tcPr>
            <w:tcW w:w="12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0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b/>
                <w:sz w:val="20"/>
                <w:szCs w:val="20"/>
              </w:rPr>
              <w:t>14,8%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12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b/>
                <w:sz w:val="20"/>
                <w:szCs w:val="20"/>
              </w:rPr>
              <w:t>60,3%</w:t>
            </w:r>
          </w:p>
        </w:tc>
        <w:tc>
          <w:tcPr>
            <w:tcW w:w="15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b/>
                <w:sz w:val="20"/>
                <w:szCs w:val="20"/>
              </w:rPr>
              <w:t xml:space="preserve">119 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8D0DA9" w:rsidRPr="00840D51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840D51">
              <w:rPr>
                <w:rFonts w:ascii="Garamond" w:hAnsi="Garamond" w:cs="Times New Roman"/>
                <w:b/>
                <w:sz w:val="20"/>
                <w:szCs w:val="20"/>
              </w:rPr>
              <w:t xml:space="preserve">21% </w:t>
            </w:r>
          </w:p>
        </w:tc>
      </w:tr>
    </w:tbl>
    <w:p w:rsidR="008D0DA9" w:rsidRPr="00A604EB" w:rsidRDefault="008D0DA9" w:rsidP="008D0DA9">
      <w:pPr>
        <w:spacing w:after="0" w:line="240" w:lineRule="auto"/>
        <w:jc w:val="both"/>
        <w:rPr>
          <w:rFonts w:ascii="Garamond" w:hAnsi="Garamond" w:cs="Times New Roman"/>
          <w:sz w:val="20"/>
          <w:szCs w:val="20"/>
        </w:rPr>
      </w:pPr>
      <w:r w:rsidRPr="00DC226C">
        <w:rPr>
          <w:rFonts w:ascii="Garamond" w:hAnsi="Garamond" w:cs="Times New Roman"/>
          <w:sz w:val="20"/>
          <w:szCs w:val="20"/>
        </w:rPr>
        <w:t>Fonte: Livros Notariais do 1º e 2º Ofício – APMB.</w:t>
      </w:r>
    </w:p>
    <w:p w:rsidR="008D0DA9" w:rsidRPr="00A604EB" w:rsidRDefault="008D0DA9" w:rsidP="008D0DA9">
      <w:pPr>
        <w:spacing w:after="0" w:line="240" w:lineRule="auto"/>
        <w:rPr>
          <w:rFonts w:ascii="Garamond" w:hAnsi="Garamond" w:cs="Times New Roman"/>
          <w:sz w:val="20"/>
          <w:szCs w:val="20"/>
        </w:rPr>
      </w:pPr>
      <w:r w:rsidRPr="00A604EB">
        <w:rPr>
          <w:rFonts w:ascii="Garamond" w:hAnsi="Garamond" w:cs="Times New Roman"/>
          <w:sz w:val="20"/>
          <w:szCs w:val="20"/>
        </w:rPr>
        <w:t xml:space="preserve">*Como </w:t>
      </w:r>
      <w:proofErr w:type="gramStart"/>
      <w:r>
        <w:rPr>
          <w:rFonts w:ascii="Garamond" w:hAnsi="Garamond" w:cs="Times New Roman"/>
          <w:sz w:val="20"/>
          <w:szCs w:val="20"/>
        </w:rPr>
        <w:t>adquirente</w:t>
      </w:r>
      <w:r w:rsidRPr="00A604EB">
        <w:rPr>
          <w:rFonts w:ascii="Garamond" w:hAnsi="Garamond" w:cs="Times New Roman"/>
          <w:sz w:val="20"/>
          <w:szCs w:val="20"/>
        </w:rPr>
        <w:t xml:space="preserve">, </w:t>
      </w:r>
      <w:r>
        <w:rPr>
          <w:rFonts w:ascii="Garamond" w:hAnsi="Garamond" w:cs="Times New Roman"/>
          <w:sz w:val="20"/>
          <w:szCs w:val="20"/>
        </w:rPr>
        <w:t>transmitente</w:t>
      </w:r>
      <w:proofErr w:type="gramEnd"/>
      <w:r w:rsidRPr="00A604EB">
        <w:rPr>
          <w:rFonts w:ascii="Garamond" w:hAnsi="Garamond" w:cs="Times New Roman"/>
          <w:sz w:val="20"/>
          <w:szCs w:val="20"/>
        </w:rPr>
        <w:t xml:space="preserve"> ou procurador.</w:t>
      </w:r>
    </w:p>
    <w:p w:rsidR="008D0DA9" w:rsidRPr="00A604EB" w:rsidRDefault="008D0DA9" w:rsidP="008D0DA9">
      <w:pPr>
        <w:spacing w:after="0" w:line="240" w:lineRule="auto"/>
        <w:rPr>
          <w:rFonts w:ascii="Garamond" w:hAnsi="Garamond" w:cs="Times New Roman"/>
          <w:sz w:val="20"/>
          <w:szCs w:val="20"/>
        </w:rPr>
      </w:pPr>
      <w:r w:rsidRPr="00A604EB">
        <w:rPr>
          <w:rFonts w:ascii="Garamond" w:hAnsi="Garamond" w:cs="Times New Roman"/>
          <w:sz w:val="20"/>
          <w:szCs w:val="20"/>
        </w:rPr>
        <w:t>** Como outorgante</w:t>
      </w:r>
      <w:r>
        <w:rPr>
          <w:rFonts w:ascii="Garamond" w:hAnsi="Garamond" w:cs="Times New Roman"/>
          <w:sz w:val="20"/>
          <w:szCs w:val="20"/>
        </w:rPr>
        <w:t xml:space="preserve"> (quem passava a procuração)</w:t>
      </w:r>
      <w:r w:rsidRPr="00A604EB">
        <w:rPr>
          <w:rFonts w:ascii="Garamond" w:hAnsi="Garamond" w:cs="Times New Roman"/>
          <w:sz w:val="20"/>
          <w:szCs w:val="20"/>
        </w:rPr>
        <w:t>, outorgado</w:t>
      </w:r>
      <w:r>
        <w:rPr>
          <w:rFonts w:ascii="Garamond" w:hAnsi="Garamond" w:cs="Times New Roman"/>
          <w:sz w:val="20"/>
          <w:szCs w:val="20"/>
        </w:rPr>
        <w:t xml:space="preserve"> (o procurador, que recebia poderes)</w:t>
      </w:r>
      <w:r w:rsidRPr="00A604EB">
        <w:rPr>
          <w:rFonts w:ascii="Garamond" w:hAnsi="Garamond" w:cs="Times New Roman"/>
          <w:sz w:val="20"/>
          <w:szCs w:val="20"/>
        </w:rPr>
        <w:t xml:space="preserve"> ou adquirente/ transmitente</w:t>
      </w:r>
      <w:r>
        <w:rPr>
          <w:rFonts w:ascii="Garamond" w:hAnsi="Garamond" w:cs="Times New Roman"/>
          <w:sz w:val="20"/>
          <w:szCs w:val="20"/>
        </w:rPr>
        <w:t xml:space="preserve"> (quem estava, de fato, adquirindo ou cedendo os escravos negociados via procuração)</w:t>
      </w:r>
      <w:r w:rsidRPr="00A604EB">
        <w:rPr>
          <w:rFonts w:ascii="Garamond" w:hAnsi="Garamond" w:cs="Times New Roman"/>
          <w:sz w:val="20"/>
          <w:szCs w:val="20"/>
        </w:rPr>
        <w:t>.</w:t>
      </w:r>
    </w:p>
    <w:p w:rsidR="008D0DA9" w:rsidRDefault="008D0DA9" w:rsidP="008D0DA9">
      <w:pPr>
        <w:spacing w:after="120" w:line="240" w:lineRule="auto"/>
        <w:jc w:val="both"/>
        <w:rPr>
          <w:rFonts w:ascii="Garamond" w:hAnsi="Garamond" w:cs="Times New Roman"/>
          <w:sz w:val="20"/>
          <w:szCs w:val="20"/>
        </w:rPr>
      </w:pPr>
      <w:r w:rsidRPr="00A604EB">
        <w:rPr>
          <w:rFonts w:ascii="Garamond" w:hAnsi="Garamond" w:cs="Times New Roman"/>
          <w:sz w:val="20"/>
          <w:szCs w:val="20"/>
        </w:rPr>
        <w:t>***Para o cômputo de escravos e ingênuos efetivamente negociados não foram considerados os escravos menci</w:t>
      </w:r>
      <w:r>
        <w:rPr>
          <w:rFonts w:ascii="Garamond" w:hAnsi="Garamond" w:cs="Times New Roman"/>
          <w:sz w:val="20"/>
          <w:szCs w:val="20"/>
        </w:rPr>
        <w:t xml:space="preserve">onados nas procurações que </w:t>
      </w:r>
      <w:proofErr w:type="gramStart"/>
      <w:r>
        <w:rPr>
          <w:rFonts w:ascii="Garamond" w:hAnsi="Garamond" w:cs="Times New Roman"/>
          <w:sz w:val="20"/>
          <w:szCs w:val="20"/>
        </w:rPr>
        <w:t>nomeav</w:t>
      </w:r>
      <w:r w:rsidRPr="00A604EB">
        <w:rPr>
          <w:rFonts w:ascii="Garamond" w:hAnsi="Garamond" w:cs="Times New Roman"/>
          <w:sz w:val="20"/>
          <w:szCs w:val="20"/>
        </w:rPr>
        <w:t>am</w:t>
      </w:r>
      <w:proofErr w:type="gramEnd"/>
      <w:r w:rsidRPr="00A604EB">
        <w:rPr>
          <w:rFonts w:ascii="Garamond" w:hAnsi="Garamond" w:cs="Times New Roman"/>
          <w:sz w:val="20"/>
          <w:szCs w:val="20"/>
        </w:rPr>
        <w:t xml:space="preserve"> mais de um procurador, por não ser possível saber qual (is) deles (s) efetivou (aram) o negócio. Portanto, a quantidade de indivíduos negociados por estes sujeitos pode ter sido maior que a acima mencionada.</w:t>
      </w:r>
    </w:p>
    <w:p w:rsidR="0005588F" w:rsidRDefault="0005588F" w:rsidP="008D0DA9">
      <w:pPr>
        <w:spacing w:after="120" w:line="240" w:lineRule="auto"/>
        <w:jc w:val="both"/>
        <w:rPr>
          <w:rFonts w:ascii="Garamond" w:hAnsi="Garamond" w:cs="Times New Roman"/>
          <w:sz w:val="20"/>
          <w:szCs w:val="20"/>
        </w:rPr>
      </w:pPr>
    </w:p>
    <w:p w:rsidR="0005588F" w:rsidRPr="00A604EB" w:rsidRDefault="0005588F" w:rsidP="008D0DA9">
      <w:pPr>
        <w:spacing w:after="120" w:line="240" w:lineRule="auto"/>
        <w:jc w:val="both"/>
        <w:rPr>
          <w:rFonts w:ascii="Garamond" w:hAnsi="Garamond" w:cs="Times New Roman"/>
          <w:sz w:val="20"/>
          <w:szCs w:val="20"/>
        </w:rPr>
      </w:pPr>
    </w:p>
    <w:p w:rsidR="008D0DA9" w:rsidRPr="00214BA9" w:rsidRDefault="008D0DA9" w:rsidP="008D0DA9">
      <w:pPr>
        <w:spacing w:before="240" w:after="120" w:line="360" w:lineRule="auto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Tabela 2</w:t>
      </w:r>
      <w:r w:rsidRPr="00A604EB">
        <w:rPr>
          <w:rFonts w:ascii="Garamond" w:hAnsi="Garamond" w:cs="Times New Roman"/>
          <w:b/>
          <w:sz w:val="24"/>
          <w:szCs w:val="24"/>
        </w:rPr>
        <w:t xml:space="preserve"> – Principais grupos de negociantes </w:t>
      </w:r>
      <w:r>
        <w:rPr>
          <w:rFonts w:ascii="Garamond" w:hAnsi="Garamond" w:cs="Times New Roman"/>
          <w:b/>
          <w:sz w:val="24"/>
          <w:szCs w:val="24"/>
        </w:rPr>
        <w:t>e suas</w:t>
      </w:r>
      <w:r w:rsidRPr="00A604EB">
        <w:rPr>
          <w:rFonts w:ascii="Garamond" w:hAnsi="Garamond" w:cs="Times New Roman"/>
          <w:b/>
          <w:sz w:val="24"/>
          <w:szCs w:val="24"/>
        </w:rPr>
        <w:t xml:space="preserve"> </w:t>
      </w:r>
      <w:r>
        <w:rPr>
          <w:rFonts w:ascii="Garamond" w:hAnsi="Garamond" w:cs="Times New Roman"/>
          <w:b/>
          <w:sz w:val="24"/>
          <w:szCs w:val="24"/>
        </w:rPr>
        <w:t xml:space="preserve">formas de </w:t>
      </w:r>
      <w:r w:rsidRPr="00A604EB">
        <w:rPr>
          <w:rFonts w:ascii="Garamond" w:hAnsi="Garamond" w:cs="Times New Roman"/>
          <w:b/>
          <w:sz w:val="24"/>
          <w:szCs w:val="24"/>
        </w:rPr>
        <w:t>ocorrência</w:t>
      </w:r>
      <w:r>
        <w:rPr>
          <w:rFonts w:ascii="Garamond" w:hAnsi="Garamond" w:cs="Times New Roman"/>
          <w:b/>
          <w:sz w:val="24"/>
          <w:szCs w:val="24"/>
        </w:rPr>
        <w:t xml:space="preserve"> </w:t>
      </w:r>
      <w:r w:rsidRPr="00A604EB">
        <w:rPr>
          <w:rFonts w:ascii="Garamond" w:hAnsi="Garamond" w:cs="Times New Roman"/>
          <w:b/>
          <w:sz w:val="24"/>
          <w:szCs w:val="24"/>
        </w:rPr>
        <w:t>e</w:t>
      </w:r>
      <w:r>
        <w:rPr>
          <w:rFonts w:ascii="Garamond" w:hAnsi="Garamond" w:cs="Times New Roman"/>
          <w:b/>
          <w:sz w:val="24"/>
          <w:szCs w:val="24"/>
        </w:rPr>
        <w:t>m</w:t>
      </w:r>
      <w:r w:rsidRPr="00A604EB">
        <w:rPr>
          <w:rFonts w:ascii="Garamond" w:hAnsi="Garamond" w:cs="Times New Roman"/>
          <w:b/>
          <w:sz w:val="24"/>
          <w:szCs w:val="24"/>
        </w:rPr>
        <w:t xml:space="preserve"> </w:t>
      </w:r>
      <w:r>
        <w:rPr>
          <w:rFonts w:ascii="Garamond" w:hAnsi="Garamond" w:cs="Times New Roman"/>
          <w:b/>
          <w:sz w:val="24"/>
          <w:szCs w:val="24"/>
        </w:rPr>
        <w:t>escrituras e procurações: Bonfim do Paraopeba, 1860-1888.</w:t>
      </w:r>
    </w:p>
    <w:tbl>
      <w:tblPr>
        <w:tblStyle w:val="Tabelacomgrade"/>
        <w:tblW w:w="8894" w:type="dxa"/>
        <w:jc w:val="center"/>
        <w:tblInd w:w="339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229"/>
        <w:gridCol w:w="1371"/>
        <w:gridCol w:w="1192"/>
        <w:gridCol w:w="1212"/>
        <w:gridCol w:w="1204"/>
        <w:gridCol w:w="1149"/>
        <w:gridCol w:w="1537"/>
      </w:tblGrid>
      <w:tr w:rsidR="008D0DA9" w:rsidRPr="00222746" w:rsidTr="00032585">
        <w:trPr>
          <w:jc w:val="center"/>
        </w:trPr>
        <w:tc>
          <w:tcPr>
            <w:tcW w:w="1229" w:type="dxa"/>
            <w:vMerge w:val="restart"/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222746">
              <w:rPr>
                <w:rFonts w:ascii="Garamond" w:hAnsi="Garamond" w:cs="Times New Roman"/>
                <w:b/>
                <w:sz w:val="20"/>
                <w:szCs w:val="20"/>
              </w:rPr>
              <w:t>Grupos de negociantes</w:t>
            </w:r>
          </w:p>
        </w:tc>
        <w:tc>
          <w:tcPr>
            <w:tcW w:w="3775" w:type="dxa"/>
            <w:gridSpan w:val="3"/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222746">
              <w:rPr>
                <w:rFonts w:ascii="Garamond" w:hAnsi="Garamond" w:cs="Times New Roman"/>
                <w:b/>
                <w:sz w:val="20"/>
                <w:szCs w:val="20"/>
              </w:rPr>
              <w:t xml:space="preserve">Ocorrências em escrituras </w:t>
            </w:r>
          </w:p>
        </w:tc>
        <w:tc>
          <w:tcPr>
            <w:tcW w:w="3890" w:type="dxa"/>
            <w:gridSpan w:val="3"/>
            <w:tcBorders>
              <w:bottom w:val="single" w:sz="4" w:space="0" w:color="auto"/>
            </w:tcBorders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222746">
              <w:rPr>
                <w:rFonts w:ascii="Garamond" w:hAnsi="Garamond" w:cs="Times New Roman"/>
                <w:b/>
                <w:sz w:val="20"/>
                <w:szCs w:val="20"/>
              </w:rPr>
              <w:t xml:space="preserve">Ocorrências em procurações </w:t>
            </w:r>
          </w:p>
        </w:tc>
      </w:tr>
      <w:tr w:rsidR="008D0DA9" w:rsidRPr="00222746" w:rsidTr="00032585">
        <w:trPr>
          <w:jc w:val="center"/>
        </w:trPr>
        <w:tc>
          <w:tcPr>
            <w:tcW w:w="1229" w:type="dxa"/>
            <w:vMerge/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right w:val="nil"/>
            </w:tcBorders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222746">
              <w:rPr>
                <w:rFonts w:ascii="Garamond" w:hAnsi="Garamond" w:cs="Times New Roman"/>
                <w:b/>
                <w:sz w:val="20"/>
                <w:szCs w:val="20"/>
              </w:rPr>
              <w:t>Transmitente</w:t>
            </w:r>
          </w:p>
        </w:tc>
        <w:tc>
          <w:tcPr>
            <w:tcW w:w="1192" w:type="dxa"/>
            <w:tcBorders>
              <w:left w:val="nil"/>
              <w:right w:val="nil"/>
            </w:tcBorders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222746">
              <w:rPr>
                <w:rFonts w:ascii="Garamond" w:hAnsi="Garamond" w:cs="Times New Roman"/>
                <w:b/>
                <w:sz w:val="20"/>
                <w:szCs w:val="20"/>
              </w:rPr>
              <w:t>Adquirente</w:t>
            </w:r>
          </w:p>
        </w:tc>
        <w:tc>
          <w:tcPr>
            <w:tcW w:w="1212" w:type="dxa"/>
            <w:tcBorders>
              <w:left w:val="nil"/>
            </w:tcBorders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222746">
              <w:rPr>
                <w:rFonts w:ascii="Garamond" w:hAnsi="Garamond" w:cs="Times New Roman"/>
                <w:b/>
                <w:sz w:val="20"/>
                <w:szCs w:val="20"/>
              </w:rPr>
              <w:t>Procurador</w:t>
            </w:r>
          </w:p>
        </w:tc>
        <w:tc>
          <w:tcPr>
            <w:tcW w:w="1204" w:type="dxa"/>
            <w:tcBorders>
              <w:right w:val="nil"/>
            </w:tcBorders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222746">
              <w:rPr>
                <w:rFonts w:ascii="Garamond" w:hAnsi="Garamond" w:cs="Times New Roman"/>
                <w:b/>
                <w:sz w:val="20"/>
                <w:szCs w:val="20"/>
              </w:rPr>
              <w:t>Outorgante</w:t>
            </w:r>
          </w:p>
        </w:tc>
        <w:tc>
          <w:tcPr>
            <w:tcW w:w="1149" w:type="dxa"/>
            <w:tcBorders>
              <w:left w:val="nil"/>
              <w:right w:val="nil"/>
            </w:tcBorders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222746">
              <w:rPr>
                <w:rFonts w:ascii="Garamond" w:hAnsi="Garamond" w:cs="Times New Roman"/>
                <w:b/>
                <w:sz w:val="20"/>
                <w:szCs w:val="20"/>
              </w:rPr>
              <w:t>Outorgado</w:t>
            </w:r>
          </w:p>
        </w:tc>
        <w:tc>
          <w:tcPr>
            <w:tcW w:w="1537" w:type="dxa"/>
            <w:tcBorders>
              <w:left w:val="nil"/>
            </w:tcBorders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</w:rPr>
              <w:t>Transmitente / Adquirente</w:t>
            </w:r>
          </w:p>
        </w:tc>
      </w:tr>
      <w:tr w:rsidR="008D0DA9" w:rsidRPr="00222746" w:rsidTr="00032585">
        <w:trPr>
          <w:jc w:val="center"/>
        </w:trPr>
        <w:tc>
          <w:tcPr>
            <w:tcW w:w="1229" w:type="dxa"/>
            <w:vAlign w:val="center"/>
          </w:tcPr>
          <w:p w:rsidR="008D0DA9" w:rsidRPr="00EE088F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EE088F">
              <w:rPr>
                <w:rFonts w:ascii="Garamond" w:hAnsi="Garamond" w:cs="Times New Roman"/>
                <w:b/>
                <w:sz w:val="20"/>
                <w:szCs w:val="20"/>
              </w:rPr>
              <w:t>A</w:t>
            </w:r>
          </w:p>
        </w:tc>
        <w:tc>
          <w:tcPr>
            <w:tcW w:w="1371" w:type="dxa"/>
            <w:tcBorders>
              <w:right w:val="nil"/>
            </w:tcBorders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222746">
              <w:rPr>
                <w:rFonts w:ascii="Garamond" w:hAnsi="Garamond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92" w:type="dxa"/>
            <w:tcBorders>
              <w:left w:val="nil"/>
              <w:right w:val="nil"/>
            </w:tcBorders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222746">
              <w:rPr>
                <w:rFonts w:ascii="Garamond" w:hAnsi="Garamond" w:cs="Times New Roman"/>
                <w:sz w:val="20"/>
                <w:szCs w:val="20"/>
              </w:rPr>
              <w:t>9</w:t>
            </w:r>
            <w:proofErr w:type="gramEnd"/>
          </w:p>
        </w:tc>
        <w:tc>
          <w:tcPr>
            <w:tcW w:w="1212" w:type="dxa"/>
            <w:tcBorders>
              <w:left w:val="nil"/>
            </w:tcBorders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222746">
              <w:rPr>
                <w:rFonts w:ascii="Garamond" w:hAnsi="Garamond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204" w:type="dxa"/>
            <w:tcBorders>
              <w:right w:val="nil"/>
            </w:tcBorders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222746">
              <w:rPr>
                <w:rFonts w:ascii="Garamond" w:hAnsi="Garamond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149" w:type="dxa"/>
            <w:tcBorders>
              <w:left w:val="nil"/>
              <w:right w:val="nil"/>
            </w:tcBorders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222746">
              <w:rPr>
                <w:rFonts w:ascii="Garamond" w:hAnsi="Garamond" w:cs="Times New Roman"/>
                <w:sz w:val="20"/>
                <w:szCs w:val="20"/>
              </w:rPr>
              <w:t>8</w:t>
            </w:r>
            <w:proofErr w:type="gramEnd"/>
          </w:p>
        </w:tc>
        <w:tc>
          <w:tcPr>
            <w:tcW w:w="1537" w:type="dxa"/>
            <w:tcBorders>
              <w:left w:val="nil"/>
            </w:tcBorders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222746">
              <w:rPr>
                <w:rFonts w:ascii="Garamond" w:hAnsi="Garamond" w:cs="Times New Roman"/>
                <w:sz w:val="20"/>
                <w:szCs w:val="20"/>
              </w:rPr>
              <w:t>-</w:t>
            </w:r>
          </w:p>
        </w:tc>
      </w:tr>
      <w:tr w:rsidR="008D0DA9" w:rsidRPr="00222746" w:rsidTr="00032585">
        <w:trPr>
          <w:jc w:val="center"/>
        </w:trPr>
        <w:tc>
          <w:tcPr>
            <w:tcW w:w="1229" w:type="dxa"/>
            <w:vAlign w:val="center"/>
          </w:tcPr>
          <w:p w:rsidR="008D0DA9" w:rsidRPr="00EE088F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EE088F">
              <w:rPr>
                <w:rFonts w:ascii="Garamond" w:hAnsi="Garamond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371" w:type="dxa"/>
            <w:tcBorders>
              <w:right w:val="nil"/>
            </w:tcBorders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222746">
              <w:rPr>
                <w:rFonts w:ascii="Garamond" w:hAnsi="Garamond" w:cs="Times New Roman"/>
                <w:sz w:val="20"/>
                <w:szCs w:val="20"/>
              </w:rPr>
              <w:t>-</w:t>
            </w:r>
          </w:p>
        </w:tc>
        <w:tc>
          <w:tcPr>
            <w:tcW w:w="1192" w:type="dxa"/>
            <w:tcBorders>
              <w:left w:val="nil"/>
              <w:right w:val="nil"/>
            </w:tcBorders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222746">
              <w:rPr>
                <w:rFonts w:ascii="Garamond" w:hAnsi="Garamond" w:cs="Times New Roman"/>
                <w:sz w:val="20"/>
                <w:szCs w:val="20"/>
              </w:rPr>
              <w:t>9</w:t>
            </w:r>
            <w:proofErr w:type="gramEnd"/>
          </w:p>
        </w:tc>
        <w:tc>
          <w:tcPr>
            <w:tcW w:w="1212" w:type="dxa"/>
            <w:tcBorders>
              <w:left w:val="nil"/>
            </w:tcBorders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222746">
              <w:rPr>
                <w:rFonts w:ascii="Garamond" w:hAnsi="Garamond" w:cs="Times New Roman"/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right w:val="nil"/>
            </w:tcBorders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222746">
              <w:rPr>
                <w:rFonts w:ascii="Garamond" w:hAnsi="Garamond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49" w:type="dxa"/>
            <w:tcBorders>
              <w:left w:val="nil"/>
              <w:right w:val="nil"/>
            </w:tcBorders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222746">
              <w:rPr>
                <w:rFonts w:ascii="Garamond" w:hAnsi="Garamond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537" w:type="dxa"/>
            <w:tcBorders>
              <w:left w:val="nil"/>
            </w:tcBorders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222746">
              <w:rPr>
                <w:rFonts w:ascii="Garamond" w:hAnsi="Garamond" w:cs="Times New Roman"/>
                <w:sz w:val="20"/>
                <w:szCs w:val="20"/>
              </w:rPr>
              <w:t>-</w:t>
            </w:r>
          </w:p>
        </w:tc>
      </w:tr>
      <w:tr w:rsidR="008D0DA9" w:rsidRPr="00222746" w:rsidTr="00032585">
        <w:trPr>
          <w:jc w:val="center"/>
        </w:trPr>
        <w:tc>
          <w:tcPr>
            <w:tcW w:w="1229" w:type="dxa"/>
            <w:vAlign w:val="center"/>
          </w:tcPr>
          <w:p w:rsidR="008D0DA9" w:rsidRPr="00EE088F" w:rsidRDefault="008D0DA9" w:rsidP="00032585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EE088F">
              <w:rPr>
                <w:rFonts w:ascii="Garamond" w:hAnsi="Garamond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1371" w:type="dxa"/>
            <w:tcBorders>
              <w:right w:val="nil"/>
            </w:tcBorders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222746">
              <w:rPr>
                <w:rFonts w:ascii="Garamond" w:hAnsi="Garamond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192" w:type="dxa"/>
            <w:tcBorders>
              <w:left w:val="nil"/>
              <w:right w:val="nil"/>
            </w:tcBorders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222746">
              <w:rPr>
                <w:rFonts w:ascii="Garamond" w:hAnsi="Garamond" w:cs="Times New Roman"/>
                <w:sz w:val="20"/>
                <w:szCs w:val="20"/>
              </w:rPr>
              <w:t>9</w:t>
            </w:r>
            <w:proofErr w:type="gramEnd"/>
          </w:p>
        </w:tc>
        <w:tc>
          <w:tcPr>
            <w:tcW w:w="1212" w:type="dxa"/>
            <w:tcBorders>
              <w:left w:val="nil"/>
            </w:tcBorders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222746">
              <w:rPr>
                <w:rFonts w:ascii="Garamond" w:hAnsi="Garamond" w:cs="Times New Roman"/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right w:val="nil"/>
            </w:tcBorders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222746">
              <w:rPr>
                <w:rFonts w:ascii="Garamond" w:hAnsi="Garamond" w:cs="Times New Roman"/>
                <w:sz w:val="20"/>
                <w:szCs w:val="20"/>
              </w:rPr>
              <w:t>26</w:t>
            </w:r>
          </w:p>
        </w:tc>
        <w:tc>
          <w:tcPr>
            <w:tcW w:w="1149" w:type="dxa"/>
            <w:tcBorders>
              <w:left w:val="nil"/>
              <w:right w:val="nil"/>
            </w:tcBorders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222746">
              <w:rPr>
                <w:rFonts w:ascii="Garamond" w:hAnsi="Garamond" w:cs="Times New Roman"/>
                <w:sz w:val="20"/>
                <w:szCs w:val="20"/>
              </w:rPr>
              <w:t>25</w:t>
            </w:r>
          </w:p>
        </w:tc>
        <w:tc>
          <w:tcPr>
            <w:tcW w:w="1537" w:type="dxa"/>
            <w:tcBorders>
              <w:left w:val="nil"/>
            </w:tcBorders>
            <w:vAlign w:val="center"/>
          </w:tcPr>
          <w:p w:rsidR="008D0DA9" w:rsidRPr="00222746" w:rsidRDefault="008D0DA9" w:rsidP="00032585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222746">
              <w:rPr>
                <w:rFonts w:ascii="Garamond" w:hAnsi="Garamond" w:cs="Times New Roman"/>
                <w:sz w:val="20"/>
                <w:szCs w:val="20"/>
              </w:rPr>
              <w:t>5</w:t>
            </w:r>
            <w:proofErr w:type="gramEnd"/>
          </w:p>
        </w:tc>
      </w:tr>
    </w:tbl>
    <w:p w:rsidR="008D0DA9" w:rsidRPr="00A604EB" w:rsidRDefault="008D0DA9" w:rsidP="008D0DA9">
      <w:pPr>
        <w:spacing w:after="0" w:line="360" w:lineRule="auto"/>
        <w:jc w:val="both"/>
        <w:rPr>
          <w:rFonts w:ascii="Garamond" w:hAnsi="Garamond" w:cs="Times New Roman"/>
          <w:sz w:val="20"/>
          <w:szCs w:val="20"/>
        </w:rPr>
      </w:pPr>
      <w:r w:rsidRPr="00DC226C">
        <w:rPr>
          <w:rFonts w:ascii="Garamond" w:hAnsi="Garamond" w:cs="Times New Roman"/>
          <w:sz w:val="20"/>
          <w:szCs w:val="20"/>
        </w:rPr>
        <w:t xml:space="preserve">Fonte: Livros Notariais do 1º e 2º Ofício – APMB. </w:t>
      </w:r>
    </w:p>
    <w:p w:rsidR="008D0DA9" w:rsidRDefault="008D0DA9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7A03D4" w:rsidRDefault="007A03D4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05588F" w:rsidRDefault="0005588F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05588F" w:rsidRDefault="0005588F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05588F" w:rsidRDefault="0005588F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05588F" w:rsidRDefault="0005588F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05588F" w:rsidRDefault="0005588F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7A03D4" w:rsidRDefault="007A03D4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7A03D4" w:rsidRDefault="007A03D4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</w:p>
    <w:p w:rsidR="0005588F" w:rsidRDefault="0005588F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  <w:sectPr w:rsidR="0005588F" w:rsidSect="007A03D4"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:rsidR="00827BAD" w:rsidRPr="00713BF4" w:rsidRDefault="00827BAD" w:rsidP="00827BAD">
      <w:pPr>
        <w:spacing w:after="0" w:line="36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713BF4">
        <w:rPr>
          <w:rFonts w:ascii="Garamond" w:hAnsi="Garamond" w:cs="Times New Roman"/>
          <w:b/>
          <w:sz w:val="24"/>
          <w:szCs w:val="24"/>
        </w:rPr>
        <w:lastRenderedPageBreak/>
        <w:t xml:space="preserve">Mapa 1 – Municípios e regiões com os quais os </w:t>
      </w:r>
      <w:r w:rsidR="00B44B9D" w:rsidRPr="00713BF4">
        <w:rPr>
          <w:rFonts w:ascii="Garamond" w:hAnsi="Garamond" w:cs="Times New Roman"/>
          <w:b/>
          <w:sz w:val="24"/>
          <w:szCs w:val="24"/>
        </w:rPr>
        <w:t xml:space="preserve">principais </w:t>
      </w:r>
      <w:r w:rsidRPr="00713BF4">
        <w:rPr>
          <w:rFonts w:ascii="Garamond" w:hAnsi="Garamond" w:cs="Times New Roman"/>
          <w:b/>
          <w:sz w:val="24"/>
          <w:szCs w:val="24"/>
        </w:rPr>
        <w:t>negociantes de escravos bonfinenses mantiveram contatos comerciais (1860-1888)</w:t>
      </w:r>
    </w:p>
    <w:p w:rsidR="00827BAD" w:rsidRPr="00713BF4" w:rsidRDefault="001559AE" w:rsidP="00827BAD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713BF4">
        <w:rPr>
          <w:rFonts w:ascii="Garamond" w:hAnsi="Garamond" w:cs="Times New Roman"/>
          <w:noProof/>
          <w:sz w:val="24"/>
          <w:szCs w:val="24"/>
          <w:lang w:eastAsia="pt-BR"/>
        </w:rPr>
        <w:drawing>
          <wp:inline distT="0" distB="0" distL="0" distR="0">
            <wp:extent cx="6459663" cy="4882559"/>
            <wp:effectExtent l="19050" t="19050" r="17337" b="13291"/>
            <wp:docPr id="1" name="Imagem 1" descr="C:\Users\Ulisses HT\Downloads\Mapa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lisses HT\Downloads\Mapa 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687" cy="488182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3D4" w:rsidRDefault="00827BAD" w:rsidP="00A128D6">
      <w:pPr>
        <w:spacing w:after="0" w:line="240" w:lineRule="auto"/>
        <w:rPr>
          <w:rFonts w:ascii="Garamond" w:hAnsi="Garamond" w:cs="Times New Roman"/>
          <w:sz w:val="20"/>
          <w:szCs w:val="20"/>
        </w:rPr>
      </w:pPr>
      <w:r w:rsidRPr="00713BF4">
        <w:rPr>
          <w:rFonts w:ascii="Garamond" w:hAnsi="Garamond" w:cs="Times New Roman"/>
          <w:sz w:val="20"/>
          <w:szCs w:val="20"/>
        </w:rPr>
        <w:t xml:space="preserve">Fonte: </w:t>
      </w:r>
      <w:r w:rsidR="008853A2" w:rsidRPr="00713BF4">
        <w:rPr>
          <w:rFonts w:ascii="Garamond" w:hAnsi="Garamond" w:cs="Times New Roman"/>
          <w:sz w:val="20"/>
          <w:szCs w:val="20"/>
        </w:rPr>
        <w:t xml:space="preserve">Livros Notariais do 1º e 2º Ofício – APMB e jornais </w:t>
      </w:r>
      <w:r w:rsidR="008853A2" w:rsidRPr="00713BF4">
        <w:rPr>
          <w:rFonts w:ascii="Garamond" w:hAnsi="Garamond" w:cs="Times New Roman"/>
          <w:i/>
          <w:sz w:val="20"/>
          <w:szCs w:val="20"/>
        </w:rPr>
        <w:t xml:space="preserve">A </w:t>
      </w:r>
      <w:proofErr w:type="spellStart"/>
      <w:r w:rsidR="008853A2" w:rsidRPr="00713BF4">
        <w:rPr>
          <w:rFonts w:ascii="Garamond" w:hAnsi="Garamond" w:cs="Times New Roman"/>
          <w:i/>
          <w:sz w:val="20"/>
          <w:szCs w:val="20"/>
        </w:rPr>
        <w:t>Actualidade</w:t>
      </w:r>
      <w:proofErr w:type="spellEnd"/>
      <w:r w:rsidR="008853A2" w:rsidRPr="00713BF4">
        <w:rPr>
          <w:rFonts w:ascii="Garamond" w:hAnsi="Garamond" w:cs="Times New Roman"/>
          <w:i/>
          <w:sz w:val="20"/>
          <w:szCs w:val="20"/>
        </w:rPr>
        <w:t>, A Província de Minas, Diário de Minas</w:t>
      </w:r>
      <w:r w:rsidR="008853A2" w:rsidRPr="00713BF4">
        <w:rPr>
          <w:rFonts w:ascii="Garamond" w:hAnsi="Garamond" w:cs="Times New Roman"/>
          <w:sz w:val="20"/>
          <w:szCs w:val="20"/>
        </w:rPr>
        <w:t xml:space="preserve">, </w:t>
      </w:r>
      <w:r w:rsidR="008853A2" w:rsidRPr="00713BF4">
        <w:rPr>
          <w:rFonts w:ascii="Garamond" w:hAnsi="Garamond" w:cs="Times New Roman"/>
          <w:i/>
          <w:sz w:val="20"/>
          <w:szCs w:val="20"/>
        </w:rPr>
        <w:t xml:space="preserve">Diário do Rio de Janeiro, Jornal do </w:t>
      </w:r>
      <w:proofErr w:type="spellStart"/>
      <w:r w:rsidR="008853A2" w:rsidRPr="00713BF4">
        <w:rPr>
          <w:rFonts w:ascii="Garamond" w:hAnsi="Garamond" w:cs="Times New Roman"/>
          <w:i/>
          <w:sz w:val="20"/>
          <w:szCs w:val="20"/>
        </w:rPr>
        <w:t>Commercio</w:t>
      </w:r>
      <w:proofErr w:type="spellEnd"/>
      <w:r w:rsidR="008853A2" w:rsidRPr="00713BF4">
        <w:rPr>
          <w:rFonts w:ascii="Garamond" w:hAnsi="Garamond" w:cs="Times New Roman"/>
          <w:i/>
          <w:sz w:val="20"/>
          <w:szCs w:val="20"/>
        </w:rPr>
        <w:t>, Gazeta de Notícias</w:t>
      </w:r>
      <w:r w:rsidR="008853A2" w:rsidRPr="00713BF4">
        <w:rPr>
          <w:rFonts w:ascii="Garamond" w:hAnsi="Garamond" w:cs="Times New Roman"/>
          <w:sz w:val="20"/>
          <w:szCs w:val="20"/>
        </w:rPr>
        <w:t xml:space="preserve"> e </w:t>
      </w:r>
      <w:proofErr w:type="spellStart"/>
      <w:r w:rsidR="008853A2" w:rsidRPr="00713BF4">
        <w:rPr>
          <w:rFonts w:ascii="Garamond" w:hAnsi="Garamond" w:cs="Times New Roman"/>
          <w:i/>
          <w:sz w:val="20"/>
          <w:szCs w:val="20"/>
        </w:rPr>
        <w:t>Pharol</w:t>
      </w:r>
      <w:proofErr w:type="spellEnd"/>
      <w:r w:rsidR="008853A2" w:rsidRPr="00713BF4">
        <w:rPr>
          <w:rFonts w:ascii="Garamond" w:hAnsi="Garamond" w:cs="Times New Roman"/>
          <w:sz w:val="20"/>
          <w:szCs w:val="20"/>
        </w:rPr>
        <w:t xml:space="preserve">. Mapa extraído de PAIVA, Clotilde Andrade. </w:t>
      </w:r>
      <w:r w:rsidR="008853A2" w:rsidRPr="00713BF4">
        <w:rPr>
          <w:rFonts w:ascii="Garamond" w:hAnsi="Garamond" w:cs="Times New Roman"/>
          <w:i/>
          <w:sz w:val="20"/>
          <w:szCs w:val="20"/>
        </w:rPr>
        <w:t>População e economia nas Minas Gerais do século XIX</w:t>
      </w:r>
      <w:r w:rsidR="008853A2" w:rsidRPr="00713BF4">
        <w:rPr>
          <w:rFonts w:ascii="Garamond" w:hAnsi="Garamond" w:cs="Times New Roman"/>
          <w:sz w:val="20"/>
          <w:szCs w:val="20"/>
        </w:rPr>
        <w:t>. São Paulo: FFLCH/USP, 1996, p. 91 e modificado pelo autor.</w:t>
      </w:r>
    </w:p>
    <w:p w:rsidR="0005588F" w:rsidRDefault="0005588F" w:rsidP="007A03D4">
      <w:pPr>
        <w:spacing w:after="120" w:line="360" w:lineRule="auto"/>
        <w:jc w:val="center"/>
        <w:rPr>
          <w:rFonts w:ascii="Garamond" w:eastAsiaTheme="minorEastAsia" w:hAnsi="Garamond" w:cs="Times New Roman"/>
          <w:b/>
          <w:sz w:val="24"/>
          <w:szCs w:val="24"/>
          <w:lang w:eastAsia="pt-BR"/>
        </w:rPr>
        <w:sectPr w:rsidR="0005588F" w:rsidSect="0005588F">
          <w:pgSz w:w="16838" w:h="11906" w:orient="landscape"/>
          <w:pgMar w:top="1701" w:right="1701" w:bottom="1134" w:left="1134" w:header="709" w:footer="709" w:gutter="0"/>
          <w:cols w:space="708"/>
          <w:docGrid w:linePitch="360"/>
        </w:sectPr>
      </w:pPr>
    </w:p>
    <w:p w:rsidR="007A03D4" w:rsidRPr="007A03D4" w:rsidRDefault="007A03D4" w:rsidP="007A03D4">
      <w:pPr>
        <w:spacing w:after="120" w:line="360" w:lineRule="auto"/>
        <w:jc w:val="center"/>
        <w:rPr>
          <w:rFonts w:ascii="Garamond" w:eastAsiaTheme="minorEastAsia" w:hAnsi="Garamond" w:cs="Times New Roman"/>
          <w:sz w:val="24"/>
          <w:szCs w:val="24"/>
          <w:lang w:eastAsia="pt-BR"/>
        </w:rPr>
      </w:pPr>
      <w:r w:rsidRPr="007A03D4">
        <w:rPr>
          <w:rFonts w:ascii="Garamond" w:eastAsiaTheme="minorEastAsia" w:hAnsi="Garamond" w:cs="Times New Roman"/>
          <w:b/>
          <w:sz w:val="24"/>
          <w:szCs w:val="24"/>
          <w:lang w:eastAsia="pt-BR"/>
        </w:rPr>
        <w:lastRenderedPageBreak/>
        <w:t>Tabela 3 – Principais intermediários segundo ocorrência e quantidade de escravos negociados: Bonfim do Paraopeba, 1860-1888.</w:t>
      </w:r>
    </w:p>
    <w:tbl>
      <w:tblPr>
        <w:tblStyle w:val="Tabelacomgrade"/>
        <w:tblW w:w="918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10"/>
        <w:gridCol w:w="1701"/>
        <w:gridCol w:w="1417"/>
        <w:gridCol w:w="1276"/>
        <w:gridCol w:w="1276"/>
      </w:tblGrid>
      <w:tr w:rsidR="007A03D4" w:rsidRPr="007A03D4" w:rsidTr="00032585">
        <w:tc>
          <w:tcPr>
            <w:tcW w:w="3510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b/>
                <w:sz w:val="20"/>
                <w:szCs w:val="20"/>
              </w:rPr>
              <w:t>Nome e período de atuação</w:t>
            </w:r>
          </w:p>
        </w:tc>
        <w:tc>
          <w:tcPr>
            <w:tcW w:w="1701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b/>
                <w:sz w:val="20"/>
                <w:szCs w:val="20"/>
              </w:rPr>
              <w:t>Local de residência</w:t>
            </w:r>
          </w:p>
        </w:tc>
        <w:tc>
          <w:tcPr>
            <w:tcW w:w="1417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b/>
                <w:sz w:val="20"/>
                <w:szCs w:val="20"/>
              </w:rPr>
              <w:t>Atuações como procurador do transmitente</w:t>
            </w:r>
          </w:p>
        </w:tc>
        <w:tc>
          <w:tcPr>
            <w:tcW w:w="1276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b/>
                <w:sz w:val="20"/>
                <w:szCs w:val="20"/>
              </w:rPr>
              <w:t>Atuações como procurador do adquirente</w:t>
            </w:r>
          </w:p>
        </w:tc>
        <w:tc>
          <w:tcPr>
            <w:tcW w:w="1276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b/>
                <w:sz w:val="20"/>
                <w:szCs w:val="20"/>
              </w:rPr>
              <w:t>Quantidade de escravos envolvidos</w:t>
            </w:r>
          </w:p>
        </w:tc>
      </w:tr>
      <w:tr w:rsidR="007A03D4" w:rsidRPr="007A03D4" w:rsidTr="00032585">
        <w:tc>
          <w:tcPr>
            <w:tcW w:w="3510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sz w:val="20"/>
                <w:szCs w:val="20"/>
              </w:rPr>
              <w:t xml:space="preserve">Tenente Coronel José </w:t>
            </w:r>
            <w:proofErr w:type="spellStart"/>
            <w:r w:rsidRPr="007A03D4">
              <w:rPr>
                <w:rFonts w:ascii="Garamond" w:hAnsi="Garamond" w:cs="Times New Roman"/>
                <w:sz w:val="20"/>
                <w:szCs w:val="20"/>
              </w:rPr>
              <w:t>Egydio</w:t>
            </w:r>
            <w:proofErr w:type="spellEnd"/>
            <w:r w:rsidRPr="007A03D4">
              <w:rPr>
                <w:rFonts w:ascii="Garamond" w:hAnsi="Garamond" w:cs="Times New Roman"/>
                <w:sz w:val="20"/>
                <w:szCs w:val="20"/>
              </w:rPr>
              <w:t xml:space="preserve"> da Silva Campos (décadas de 1860 e 1870)</w:t>
            </w:r>
          </w:p>
        </w:tc>
        <w:tc>
          <w:tcPr>
            <w:tcW w:w="1701" w:type="dxa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sz w:val="20"/>
                <w:szCs w:val="20"/>
              </w:rPr>
              <w:t>Distrito da Cidade do Bonfim</w:t>
            </w:r>
          </w:p>
        </w:tc>
        <w:tc>
          <w:tcPr>
            <w:tcW w:w="1417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7A03D4">
              <w:rPr>
                <w:rFonts w:ascii="Garamond" w:hAnsi="Garamond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276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7A03D4">
              <w:rPr>
                <w:rFonts w:ascii="Garamond" w:hAnsi="Garamond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276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7A03D4">
              <w:rPr>
                <w:rFonts w:ascii="Garamond" w:hAnsi="Garamond" w:cs="Times New Roman"/>
                <w:sz w:val="20"/>
                <w:szCs w:val="20"/>
              </w:rPr>
              <w:t>8</w:t>
            </w:r>
            <w:proofErr w:type="gramEnd"/>
            <w:r w:rsidRPr="007A03D4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</w:p>
        </w:tc>
      </w:tr>
      <w:tr w:rsidR="007A03D4" w:rsidRPr="007A03D4" w:rsidTr="00032585">
        <w:tc>
          <w:tcPr>
            <w:tcW w:w="3510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sz w:val="20"/>
                <w:szCs w:val="20"/>
              </w:rPr>
              <w:t>Antonio Nery Ferreira</w:t>
            </w:r>
          </w:p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sz w:val="20"/>
                <w:szCs w:val="20"/>
              </w:rPr>
              <w:t xml:space="preserve">(décadas de 1870 e 1880) </w:t>
            </w:r>
          </w:p>
        </w:tc>
        <w:tc>
          <w:tcPr>
            <w:tcW w:w="1701" w:type="dxa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sz w:val="20"/>
                <w:szCs w:val="20"/>
              </w:rPr>
              <w:t>Distrito da Cidade do Bonfim</w:t>
            </w:r>
          </w:p>
        </w:tc>
        <w:tc>
          <w:tcPr>
            <w:tcW w:w="1417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7A03D4">
              <w:rPr>
                <w:rFonts w:ascii="Garamond" w:hAnsi="Garamond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276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7A03D4">
              <w:rPr>
                <w:rFonts w:ascii="Garamond" w:hAnsi="Garamond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276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7A03D4">
              <w:rPr>
                <w:rFonts w:ascii="Garamond" w:hAnsi="Garamond" w:cs="Times New Roman"/>
                <w:sz w:val="20"/>
                <w:szCs w:val="20"/>
              </w:rPr>
              <w:t>7</w:t>
            </w:r>
            <w:proofErr w:type="gramEnd"/>
            <w:r w:rsidRPr="007A03D4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</w:p>
        </w:tc>
      </w:tr>
      <w:tr w:rsidR="007A03D4" w:rsidRPr="007A03D4" w:rsidTr="00032585">
        <w:tc>
          <w:tcPr>
            <w:tcW w:w="3510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sz w:val="20"/>
                <w:szCs w:val="20"/>
              </w:rPr>
              <w:t>Advogado Alferes Candido de Castro Guimarães (década de 1860)</w:t>
            </w:r>
          </w:p>
        </w:tc>
        <w:tc>
          <w:tcPr>
            <w:tcW w:w="1701" w:type="dxa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sz w:val="20"/>
                <w:szCs w:val="20"/>
              </w:rPr>
              <w:t>Distrito da Cidade do Bonfim</w:t>
            </w:r>
          </w:p>
        </w:tc>
        <w:tc>
          <w:tcPr>
            <w:tcW w:w="1417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7A03D4">
              <w:rPr>
                <w:rFonts w:ascii="Garamond" w:hAnsi="Garamond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276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7A03D4">
              <w:rPr>
                <w:rFonts w:ascii="Garamond" w:hAnsi="Garamond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276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7A03D4">
              <w:rPr>
                <w:rFonts w:ascii="Garamond" w:hAnsi="Garamond" w:cs="Times New Roman"/>
                <w:sz w:val="20"/>
                <w:szCs w:val="20"/>
              </w:rPr>
              <w:t>6</w:t>
            </w:r>
            <w:proofErr w:type="gramEnd"/>
            <w:r w:rsidRPr="007A03D4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</w:p>
        </w:tc>
      </w:tr>
      <w:tr w:rsidR="007A03D4" w:rsidRPr="007A03D4" w:rsidTr="00032585">
        <w:tc>
          <w:tcPr>
            <w:tcW w:w="3510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sz w:val="20"/>
                <w:szCs w:val="20"/>
              </w:rPr>
              <w:t xml:space="preserve">Reverendo Vigário Francisco Nogueira </w:t>
            </w:r>
            <w:proofErr w:type="spellStart"/>
            <w:r w:rsidRPr="007A03D4">
              <w:rPr>
                <w:rFonts w:ascii="Garamond" w:hAnsi="Garamond" w:cs="Times New Roman"/>
                <w:sz w:val="20"/>
                <w:szCs w:val="20"/>
              </w:rPr>
              <w:t>Penido</w:t>
            </w:r>
            <w:proofErr w:type="spellEnd"/>
            <w:r w:rsidRPr="007A03D4">
              <w:rPr>
                <w:rFonts w:ascii="Garamond" w:hAnsi="Garamond" w:cs="Times New Roman"/>
                <w:sz w:val="20"/>
                <w:szCs w:val="20"/>
              </w:rPr>
              <w:t xml:space="preserve"> (década de 1860)</w:t>
            </w:r>
          </w:p>
        </w:tc>
        <w:tc>
          <w:tcPr>
            <w:tcW w:w="1701" w:type="dxa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sz w:val="20"/>
                <w:szCs w:val="20"/>
              </w:rPr>
              <w:t>Distrito de Piedade dos Gerais</w:t>
            </w:r>
          </w:p>
        </w:tc>
        <w:tc>
          <w:tcPr>
            <w:tcW w:w="1417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7A03D4">
              <w:rPr>
                <w:rFonts w:ascii="Garamond" w:hAnsi="Garamond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276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7A03D4">
              <w:rPr>
                <w:rFonts w:ascii="Garamond" w:hAnsi="Garamond" w:cs="Times New Roman"/>
                <w:sz w:val="20"/>
                <w:szCs w:val="20"/>
              </w:rPr>
              <w:t>4</w:t>
            </w:r>
            <w:proofErr w:type="gramEnd"/>
            <w:r w:rsidRPr="007A03D4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</w:p>
        </w:tc>
      </w:tr>
      <w:tr w:rsidR="007A03D4" w:rsidRPr="007A03D4" w:rsidTr="00032585">
        <w:tc>
          <w:tcPr>
            <w:tcW w:w="3510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sz w:val="20"/>
                <w:szCs w:val="20"/>
              </w:rPr>
              <w:t xml:space="preserve">Antonio de Araújo Lima Coxo </w:t>
            </w:r>
          </w:p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sz w:val="20"/>
                <w:szCs w:val="20"/>
              </w:rPr>
              <w:t>(décadas de 1870 e 1880)</w:t>
            </w:r>
          </w:p>
        </w:tc>
        <w:tc>
          <w:tcPr>
            <w:tcW w:w="1701" w:type="dxa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sz w:val="20"/>
                <w:szCs w:val="20"/>
              </w:rPr>
              <w:t>Distrito de Piedade dos Gerais</w:t>
            </w:r>
          </w:p>
        </w:tc>
        <w:tc>
          <w:tcPr>
            <w:tcW w:w="1417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7A03D4">
              <w:rPr>
                <w:rFonts w:ascii="Garamond" w:hAnsi="Garamond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276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7A03D4">
              <w:rPr>
                <w:rFonts w:ascii="Garamond" w:hAnsi="Garamond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276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sz w:val="20"/>
                <w:szCs w:val="20"/>
              </w:rPr>
              <w:t xml:space="preserve">10 </w:t>
            </w:r>
          </w:p>
        </w:tc>
      </w:tr>
      <w:tr w:rsidR="007A03D4" w:rsidRPr="007A03D4" w:rsidTr="00032585">
        <w:tc>
          <w:tcPr>
            <w:tcW w:w="3510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sz w:val="20"/>
                <w:szCs w:val="20"/>
              </w:rPr>
              <w:t xml:space="preserve">José Teixeira Machado </w:t>
            </w:r>
          </w:p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sz w:val="20"/>
                <w:szCs w:val="20"/>
              </w:rPr>
              <w:t>(décadas de 1870 e 1880)</w:t>
            </w:r>
          </w:p>
        </w:tc>
        <w:tc>
          <w:tcPr>
            <w:tcW w:w="1701" w:type="dxa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sz w:val="20"/>
                <w:szCs w:val="20"/>
              </w:rPr>
              <w:t>Distrito de Piedade dos Gerais</w:t>
            </w:r>
          </w:p>
        </w:tc>
        <w:tc>
          <w:tcPr>
            <w:tcW w:w="1417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7A03D4">
              <w:rPr>
                <w:rFonts w:ascii="Garamond" w:hAnsi="Garamond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276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7A03D4">
              <w:rPr>
                <w:rFonts w:ascii="Garamond" w:hAnsi="Garamond" w:cs="Times New Roman"/>
                <w:sz w:val="20"/>
                <w:szCs w:val="20"/>
              </w:rPr>
              <w:t>4</w:t>
            </w:r>
            <w:proofErr w:type="gramEnd"/>
            <w:r w:rsidRPr="007A03D4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</w:p>
        </w:tc>
      </w:tr>
      <w:tr w:rsidR="007A03D4" w:rsidRPr="007A03D4" w:rsidTr="00032585">
        <w:tc>
          <w:tcPr>
            <w:tcW w:w="3510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sz w:val="20"/>
                <w:szCs w:val="20"/>
              </w:rPr>
              <w:t xml:space="preserve">Tenente Manoel Bernardes da Cunha </w:t>
            </w:r>
            <w:proofErr w:type="spellStart"/>
            <w:r w:rsidRPr="007A03D4">
              <w:rPr>
                <w:rFonts w:ascii="Garamond" w:hAnsi="Garamond" w:cs="Times New Roman"/>
                <w:sz w:val="20"/>
                <w:szCs w:val="20"/>
              </w:rPr>
              <w:t>Cassão</w:t>
            </w:r>
            <w:proofErr w:type="spellEnd"/>
            <w:r w:rsidRPr="007A03D4">
              <w:rPr>
                <w:rFonts w:ascii="Garamond" w:hAnsi="Garamond" w:cs="Times New Roman"/>
                <w:sz w:val="20"/>
                <w:szCs w:val="20"/>
              </w:rPr>
              <w:t xml:space="preserve"> (décadas de 1860 e 1870)</w:t>
            </w:r>
          </w:p>
        </w:tc>
        <w:tc>
          <w:tcPr>
            <w:tcW w:w="1701" w:type="dxa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sz w:val="20"/>
                <w:szCs w:val="20"/>
              </w:rPr>
              <w:t>Distrito da Cidade do Bonfim</w:t>
            </w:r>
          </w:p>
        </w:tc>
        <w:tc>
          <w:tcPr>
            <w:tcW w:w="1417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7A03D4">
              <w:rPr>
                <w:rFonts w:ascii="Garamond" w:hAnsi="Garamond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276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7A03D4">
              <w:rPr>
                <w:rFonts w:ascii="Garamond" w:hAnsi="Garamond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276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7A03D4">
              <w:rPr>
                <w:rFonts w:ascii="Garamond" w:hAnsi="Garamond" w:cs="Times New Roman"/>
                <w:sz w:val="20"/>
                <w:szCs w:val="20"/>
              </w:rPr>
              <w:t>6</w:t>
            </w:r>
            <w:proofErr w:type="gramEnd"/>
          </w:p>
        </w:tc>
      </w:tr>
      <w:tr w:rsidR="007A03D4" w:rsidRPr="007A03D4" w:rsidTr="00032585">
        <w:tc>
          <w:tcPr>
            <w:tcW w:w="3510" w:type="dxa"/>
          </w:tcPr>
          <w:p w:rsidR="007A03D4" w:rsidRPr="007A03D4" w:rsidRDefault="007A03D4" w:rsidP="007A03D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7A03D4">
              <w:rPr>
                <w:rFonts w:ascii="Garamond" w:eastAsia="Times New Roman" w:hAnsi="Garamond" w:cs="Times New Roman"/>
                <w:sz w:val="20"/>
                <w:szCs w:val="20"/>
              </w:rPr>
              <w:t>João Evangelista Monteiro de Barros Galvão de São Martinho (década de 1880)</w:t>
            </w:r>
          </w:p>
        </w:tc>
        <w:tc>
          <w:tcPr>
            <w:tcW w:w="1701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7A03D4">
              <w:rPr>
                <w:rFonts w:ascii="Garamond" w:eastAsia="Times New Roman" w:hAnsi="Garamond" w:cs="Times New Roman"/>
                <w:sz w:val="20"/>
                <w:szCs w:val="20"/>
              </w:rPr>
              <w:t>Leopoldina</w:t>
            </w:r>
          </w:p>
        </w:tc>
        <w:tc>
          <w:tcPr>
            <w:tcW w:w="1417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7A03D4">
              <w:rPr>
                <w:rFonts w:ascii="Garamond" w:eastAsia="Times New Roman" w:hAnsi="Garamond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7A03D4">
              <w:rPr>
                <w:rFonts w:ascii="Garamond" w:hAnsi="Garamond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276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sz w:val="20"/>
                <w:szCs w:val="20"/>
              </w:rPr>
              <w:t>14</w:t>
            </w:r>
          </w:p>
        </w:tc>
      </w:tr>
      <w:tr w:rsidR="007A03D4" w:rsidRPr="007A03D4" w:rsidTr="00032585">
        <w:tc>
          <w:tcPr>
            <w:tcW w:w="3510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sz w:val="20"/>
                <w:szCs w:val="20"/>
              </w:rPr>
              <w:t xml:space="preserve">Marinho &amp; </w:t>
            </w:r>
            <w:proofErr w:type="spellStart"/>
            <w:r w:rsidRPr="007A03D4">
              <w:rPr>
                <w:rFonts w:ascii="Garamond" w:hAnsi="Garamond" w:cs="Times New Roman"/>
                <w:sz w:val="20"/>
                <w:szCs w:val="20"/>
              </w:rPr>
              <w:t>Bebiano</w:t>
            </w:r>
            <w:proofErr w:type="spellEnd"/>
            <w:r w:rsidRPr="007A03D4">
              <w:rPr>
                <w:rFonts w:ascii="Garamond" w:hAnsi="Garamond" w:cs="Times New Roman"/>
                <w:sz w:val="20"/>
                <w:szCs w:val="20"/>
              </w:rPr>
              <w:t xml:space="preserve"> (década de 1870)</w:t>
            </w:r>
          </w:p>
        </w:tc>
        <w:tc>
          <w:tcPr>
            <w:tcW w:w="1701" w:type="dxa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r w:rsidRPr="007A03D4">
              <w:rPr>
                <w:rFonts w:ascii="Garamond" w:hAnsi="Garamond" w:cs="Times New Roman"/>
                <w:sz w:val="20"/>
                <w:szCs w:val="20"/>
              </w:rPr>
              <w:t>Corte</w:t>
            </w:r>
          </w:p>
        </w:tc>
        <w:tc>
          <w:tcPr>
            <w:tcW w:w="1417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7A03D4">
              <w:rPr>
                <w:rFonts w:ascii="Garamond" w:hAnsi="Garamond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276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7A03D4">
              <w:rPr>
                <w:rFonts w:ascii="Garamond" w:hAnsi="Garamond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276" w:type="dxa"/>
            <w:vAlign w:val="center"/>
          </w:tcPr>
          <w:p w:rsidR="007A03D4" w:rsidRPr="007A03D4" w:rsidRDefault="007A03D4" w:rsidP="007A03D4">
            <w:pPr>
              <w:jc w:val="center"/>
              <w:rPr>
                <w:rFonts w:ascii="Garamond" w:hAnsi="Garamond" w:cs="Times New Roman"/>
                <w:sz w:val="20"/>
                <w:szCs w:val="20"/>
              </w:rPr>
            </w:pPr>
            <w:proofErr w:type="gramStart"/>
            <w:r w:rsidRPr="007A03D4">
              <w:rPr>
                <w:rFonts w:ascii="Garamond" w:hAnsi="Garamond" w:cs="Times New Roman"/>
                <w:sz w:val="20"/>
                <w:szCs w:val="20"/>
              </w:rPr>
              <w:t>5</w:t>
            </w:r>
            <w:proofErr w:type="gramEnd"/>
            <w:r w:rsidRPr="007A03D4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</w:p>
        </w:tc>
      </w:tr>
    </w:tbl>
    <w:p w:rsidR="007A03D4" w:rsidRPr="007A03D4" w:rsidRDefault="007A03D4" w:rsidP="007A03D4">
      <w:pPr>
        <w:spacing w:line="360" w:lineRule="auto"/>
        <w:jc w:val="both"/>
        <w:rPr>
          <w:rFonts w:ascii="Garamond" w:eastAsiaTheme="minorEastAsia" w:hAnsi="Garamond" w:cs="Times New Roman"/>
          <w:sz w:val="20"/>
          <w:szCs w:val="20"/>
          <w:lang w:eastAsia="pt-BR"/>
        </w:rPr>
      </w:pPr>
      <w:r w:rsidRPr="007A03D4">
        <w:rPr>
          <w:rFonts w:ascii="Garamond" w:eastAsiaTheme="minorEastAsia" w:hAnsi="Garamond" w:cs="Times New Roman"/>
          <w:sz w:val="20"/>
          <w:szCs w:val="20"/>
          <w:lang w:eastAsia="pt-BR"/>
        </w:rPr>
        <w:t xml:space="preserve">Fonte: Livros Notariais do 1º e 2º Ofício – APMB. </w:t>
      </w:r>
    </w:p>
    <w:p w:rsidR="007A03D4" w:rsidRPr="00713BF4" w:rsidRDefault="007A03D4" w:rsidP="00A128D6">
      <w:pPr>
        <w:spacing w:after="0" w:line="240" w:lineRule="auto"/>
        <w:rPr>
          <w:rFonts w:ascii="Garamond" w:hAnsi="Garamond"/>
          <w:sz w:val="20"/>
          <w:szCs w:val="20"/>
        </w:rPr>
      </w:pPr>
    </w:p>
    <w:sectPr w:rsidR="007A03D4" w:rsidRPr="00713BF4" w:rsidSect="007A03D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27BAD"/>
    <w:rsid w:val="0005588F"/>
    <w:rsid w:val="001559AE"/>
    <w:rsid w:val="002F31AE"/>
    <w:rsid w:val="00681C19"/>
    <w:rsid w:val="00713BF4"/>
    <w:rsid w:val="007A03D4"/>
    <w:rsid w:val="00827BAD"/>
    <w:rsid w:val="008853A2"/>
    <w:rsid w:val="008D0DA9"/>
    <w:rsid w:val="00A128D6"/>
    <w:rsid w:val="00AB7800"/>
    <w:rsid w:val="00B44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B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7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7BA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D0DA9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.br/maps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tif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lisses%20HT\Dropbox\Mestrado\Fontes\Livros%20de%20Notas%20envolvendo%20negocia&#231;&#227;o%20de%20escravos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lisses%20HT\Dropbox\Mestrado\Fontes\Livros%20de%20Notas%20envolvendo%20negocia&#231;&#227;o%20de%20escravos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lisses%20HT\Dropbox\Mestrado\Fontes\Tabula&#231;&#227;o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33"/>
  <c:chart>
    <c:autoTitleDeleted val="1"/>
    <c:plotArea>
      <c:layout>
        <c:manualLayout>
          <c:layoutTarget val="inner"/>
          <c:xMode val="edge"/>
          <c:yMode val="edge"/>
          <c:x val="0.13921114011338401"/>
          <c:y val="0.10065900100767687"/>
          <c:w val="0.86078885988661624"/>
          <c:h val="0.70122096071405837"/>
        </c:manualLayout>
      </c:layout>
      <c:lineChart>
        <c:grouping val="standard"/>
        <c:ser>
          <c:idx val="0"/>
          <c:order val="0"/>
          <c:tx>
            <c:v>Sexo M</c:v>
          </c:tx>
          <c:spPr>
            <a:ln w="25400"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</c:spPr>
          </c:marker>
          <c:cat>
            <c:strRef>
              <c:f>'1842-1888'!$E$510:$E$519</c:f>
              <c:strCache>
                <c:ptCount val="10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30-39</c:v>
                </c:pt>
                <c:pt idx="7">
                  <c:v>40-49</c:v>
                </c:pt>
                <c:pt idx="8">
                  <c:v>50-59</c:v>
                </c:pt>
                <c:pt idx="9">
                  <c:v>60 ou mais</c:v>
                </c:pt>
              </c:strCache>
            </c:strRef>
          </c:cat>
          <c:val>
            <c:numRef>
              <c:f>'1842-1888'!$F$510:$F$519</c:f>
              <c:numCache>
                <c:formatCode>General</c:formatCode>
                <c:ptCount val="10"/>
                <c:pt idx="0">
                  <c:v>470960</c:v>
                </c:pt>
                <c:pt idx="1">
                  <c:v>750000</c:v>
                </c:pt>
                <c:pt idx="2">
                  <c:v>1048438</c:v>
                </c:pt>
                <c:pt idx="3">
                  <c:v>1215385</c:v>
                </c:pt>
                <c:pt idx="4">
                  <c:v>1515625</c:v>
                </c:pt>
                <c:pt idx="5">
                  <c:v>1230100</c:v>
                </c:pt>
                <c:pt idx="6">
                  <c:v>1287058</c:v>
                </c:pt>
                <c:pt idx="7">
                  <c:v>892437</c:v>
                </c:pt>
                <c:pt idx="8">
                  <c:v>768750</c:v>
                </c:pt>
                <c:pt idx="9">
                  <c:v>175000</c:v>
                </c:pt>
              </c:numCache>
            </c:numRef>
          </c:val>
        </c:ser>
        <c:ser>
          <c:idx val="1"/>
          <c:order val="1"/>
          <c:tx>
            <c:v>Sexo F</c:v>
          </c:tx>
          <c:spPr>
            <a:ln w="25400">
              <a:solidFill>
                <a:schemeClr val="bg1">
                  <a:lumMod val="65000"/>
                </a:schemeClr>
              </a:solidFill>
            </a:ln>
          </c:spPr>
          <c:marker>
            <c:symbol val="triangle"/>
            <c:size val="7"/>
          </c:marker>
          <c:cat>
            <c:strRef>
              <c:f>'1842-1888'!$E$510:$E$519</c:f>
              <c:strCache>
                <c:ptCount val="10"/>
                <c:pt idx="0">
                  <c:v>0-4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30-39</c:v>
                </c:pt>
                <c:pt idx="7">
                  <c:v>40-49</c:v>
                </c:pt>
                <c:pt idx="8">
                  <c:v>50-59</c:v>
                </c:pt>
                <c:pt idx="9">
                  <c:v>60 ou mais</c:v>
                </c:pt>
              </c:strCache>
            </c:strRef>
          </c:cat>
          <c:val>
            <c:numRef>
              <c:f>'1842-1888'!$H$510:$H$519</c:f>
              <c:numCache>
                <c:formatCode>General</c:formatCode>
                <c:ptCount val="10"/>
                <c:pt idx="0">
                  <c:v>210000</c:v>
                </c:pt>
                <c:pt idx="1">
                  <c:v>647143</c:v>
                </c:pt>
                <c:pt idx="2">
                  <c:v>983000</c:v>
                </c:pt>
                <c:pt idx="3">
                  <c:v>1268750</c:v>
                </c:pt>
                <c:pt idx="4">
                  <c:v>1269700</c:v>
                </c:pt>
                <c:pt idx="5">
                  <c:v>786516</c:v>
                </c:pt>
                <c:pt idx="6">
                  <c:v>756842</c:v>
                </c:pt>
                <c:pt idx="7">
                  <c:v>518182</c:v>
                </c:pt>
                <c:pt idx="8">
                  <c:v>286667</c:v>
                </c:pt>
                <c:pt idx="9">
                  <c:v>300000</c:v>
                </c:pt>
              </c:numCache>
            </c:numRef>
          </c:val>
        </c:ser>
        <c:marker val="1"/>
        <c:axId val="178142592"/>
        <c:axId val="178144768"/>
      </c:lineChart>
      <c:catAx>
        <c:axId val="17814259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>
                    <a:latin typeface="Times New Roman" pitchFamily="18" charset="0"/>
                    <a:cs typeface="Times New Roman" pitchFamily="18" charset="0"/>
                  </a:rPr>
                  <a:t>Faixas etárias (em anos)</a:t>
                </a:r>
              </a:p>
            </c:rich>
          </c:tx>
          <c:layout>
            <c:manualLayout>
              <c:xMode val="edge"/>
              <c:yMode val="edge"/>
              <c:x val="0.39289325086909982"/>
              <c:y val="0.92349665725746544"/>
            </c:manualLayout>
          </c:layout>
        </c:title>
        <c:maj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pt-BR"/>
          </a:p>
        </c:txPr>
        <c:crossAx val="178144768"/>
        <c:crosses val="autoZero"/>
        <c:auto val="1"/>
        <c:lblAlgn val="ctr"/>
        <c:lblOffset val="100"/>
      </c:catAx>
      <c:valAx>
        <c:axId val="178144768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>
                    <a:latin typeface="Times New Roman" pitchFamily="18" charset="0"/>
                    <a:cs typeface="Times New Roman" pitchFamily="18" charset="0"/>
                  </a:rPr>
                  <a:t>Preços médios (em réis)</a:t>
                </a:r>
              </a:p>
            </c:rich>
          </c:tx>
          <c:layout>
            <c:manualLayout>
              <c:xMode val="edge"/>
              <c:yMode val="edge"/>
              <c:x val="1.807612214055871E-3"/>
              <c:y val="4.8953716850967471E-2"/>
            </c:manualLayout>
          </c:layout>
        </c:title>
        <c:numFmt formatCode="General" sourceLinked="1"/>
        <c:maj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pt-BR"/>
          </a:p>
        </c:txPr>
        <c:crossAx val="178142592"/>
        <c:crosses val="autoZero"/>
        <c:crossBetween val="between"/>
      </c:valAx>
      <c:spPr>
        <a:noFill/>
      </c:spPr>
    </c:plotArea>
    <c:legend>
      <c:legendPos val="r"/>
      <c:layout>
        <c:manualLayout>
          <c:xMode val="edge"/>
          <c:yMode val="edge"/>
          <c:x val="0"/>
          <c:y val="3.8674788292972885E-3"/>
          <c:w val="0.9982185017096874"/>
          <c:h val="6.6506856589802488E-2"/>
        </c:manualLayout>
      </c:layout>
      <c:spPr>
        <a:noFill/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pt-BR"/>
        </a:p>
      </c:txPr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486838417042576"/>
          <c:y val="0.13931432146111275"/>
          <c:w val="0.86513161582957598"/>
          <c:h val="0.70128840112602508"/>
        </c:manualLayout>
      </c:layout>
      <c:lineChart>
        <c:grouping val="standard"/>
        <c:ser>
          <c:idx val="1"/>
          <c:order val="0"/>
          <c:tx>
            <c:strRef>
              <c:f>'1842-1888'!$Y$508</c:f>
              <c:strCache>
                <c:ptCount val="1"/>
                <c:pt idx="0">
                  <c:v>Homens</c:v>
                </c:pt>
              </c:strCache>
            </c:strRef>
          </c:tx>
          <c:spPr>
            <a:ln w="22225">
              <a:solidFill>
                <a:sysClr val="windowText" lastClr="000000"/>
              </a:solidFill>
            </a:ln>
          </c:spPr>
          <c:marker>
            <c:symbol val="diamond"/>
            <c:size val="7"/>
            <c:spPr>
              <a:solidFill>
                <a:schemeClr val="tx1"/>
              </a:solidFill>
              <a:ln>
                <a:solidFill>
                  <a:sysClr val="windowText" lastClr="000000"/>
                </a:solidFill>
              </a:ln>
            </c:spPr>
          </c:marker>
          <c:cat>
            <c:numRef>
              <c:f>'1842-1888'!$X$510:$X$512</c:f>
              <c:numCache>
                <c:formatCode>General</c:formatCode>
                <c:ptCount val="3"/>
                <c:pt idx="0">
                  <c:v>1860</c:v>
                </c:pt>
                <c:pt idx="1">
                  <c:v>1870</c:v>
                </c:pt>
                <c:pt idx="2">
                  <c:v>1880</c:v>
                </c:pt>
              </c:numCache>
            </c:numRef>
          </c:cat>
          <c:val>
            <c:numRef>
              <c:f>'1842-1888'!$Y$510:$Y$512</c:f>
              <c:numCache>
                <c:formatCode>General</c:formatCode>
                <c:ptCount val="3"/>
                <c:pt idx="0">
                  <c:v>1451857</c:v>
                </c:pt>
                <c:pt idx="1">
                  <c:v>1277703</c:v>
                </c:pt>
                <c:pt idx="2">
                  <c:v>1069231</c:v>
                </c:pt>
              </c:numCache>
            </c:numRef>
          </c:val>
        </c:ser>
        <c:ser>
          <c:idx val="2"/>
          <c:order val="1"/>
          <c:tx>
            <c:strRef>
              <c:f>'1842-1888'!$Z$508</c:f>
              <c:strCache>
                <c:ptCount val="1"/>
                <c:pt idx="0">
                  <c:v>Mulheres</c:v>
                </c:pt>
              </c:strCache>
            </c:strRef>
          </c:tx>
          <c:spPr>
            <a:ln w="22225">
              <a:solidFill>
                <a:sysClr val="window" lastClr="FFFFFF">
                  <a:lumMod val="65000"/>
                </a:sysClr>
              </a:solidFill>
            </a:ln>
          </c:spPr>
          <c:marker>
            <c:symbol val="triangle"/>
            <c:size val="7"/>
            <c:spPr>
              <a:solidFill>
                <a:schemeClr val="bg1">
                  <a:lumMod val="65000"/>
                </a:schemeClr>
              </a:solidFill>
              <a:ln>
                <a:solidFill>
                  <a:schemeClr val="bg1">
                    <a:lumMod val="65000"/>
                  </a:schemeClr>
                </a:solidFill>
              </a:ln>
            </c:spPr>
          </c:marker>
          <c:cat>
            <c:numRef>
              <c:f>'1842-1888'!$X$510:$X$512</c:f>
              <c:numCache>
                <c:formatCode>General</c:formatCode>
                <c:ptCount val="3"/>
                <c:pt idx="0">
                  <c:v>1860</c:v>
                </c:pt>
                <c:pt idx="1">
                  <c:v>1870</c:v>
                </c:pt>
                <c:pt idx="2">
                  <c:v>1880</c:v>
                </c:pt>
              </c:numCache>
            </c:numRef>
          </c:cat>
          <c:val>
            <c:numRef>
              <c:f>'1842-1888'!$Z$510:$Z$512</c:f>
              <c:numCache>
                <c:formatCode>General</c:formatCode>
                <c:ptCount val="3"/>
                <c:pt idx="0">
                  <c:v>1366445</c:v>
                </c:pt>
                <c:pt idx="1">
                  <c:v>915000</c:v>
                </c:pt>
                <c:pt idx="2">
                  <c:v>607647</c:v>
                </c:pt>
              </c:numCache>
            </c:numRef>
          </c:val>
        </c:ser>
        <c:ser>
          <c:idx val="3"/>
          <c:order val="2"/>
          <c:tx>
            <c:strRef>
              <c:f>'1842-1888'!$AA$508:$AA$509</c:f>
              <c:strCache>
                <c:ptCount val="1"/>
                <c:pt idx="0">
                  <c:v>Mulheres</c:v>
                </c:pt>
              </c:strCache>
            </c:strRef>
          </c:tx>
          <c:cat>
            <c:numRef>
              <c:f>'1842-1888'!$X$510:$X$512</c:f>
              <c:numCache>
                <c:formatCode>General</c:formatCode>
                <c:ptCount val="3"/>
                <c:pt idx="0">
                  <c:v>1860</c:v>
                </c:pt>
                <c:pt idx="1">
                  <c:v>1870</c:v>
                </c:pt>
                <c:pt idx="2">
                  <c:v>1880</c:v>
                </c:pt>
              </c:numCache>
            </c:numRef>
          </c:cat>
          <c:val>
            <c:numRef>
              <c:f>'1842-1888'!$AA$510:$AA$512</c:f>
              <c:numCache>
                <c:formatCode>General</c:formatCode>
                <c:ptCount val="3"/>
              </c:numCache>
            </c:numRef>
          </c:val>
        </c:ser>
        <c:ser>
          <c:idx val="4"/>
          <c:order val="3"/>
          <c:tx>
            <c:strRef>
              <c:f>'1842-1888'!$AB$508:$AB$509</c:f>
              <c:strCache>
                <c:ptCount val="1"/>
                <c:pt idx="0">
                  <c:v>1860-1888 Homens</c:v>
                </c:pt>
              </c:strCache>
            </c:strRef>
          </c:tx>
          <c:spPr>
            <a:ln w="19050">
              <a:solidFill>
                <a:sysClr val="windowText" lastClr="000000"/>
              </a:solidFill>
              <a:prstDash val="sysDash"/>
            </a:ln>
          </c:spPr>
          <c:marker>
            <c:symbol val="none"/>
          </c:marker>
          <c:cat>
            <c:numRef>
              <c:f>'1842-1888'!$X$510:$X$512</c:f>
              <c:numCache>
                <c:formatCode>General</c:formatCode>
                <c:ptCount val="3"/>
                <c:pt idx="0">
                  <c:v>1860</c:v>
                </c:pt>
                <c:pt idx="1">
                  <c:v>1870</c:v>
                </c:pt>
                <c:pt idx="2">
                  <c:v>1880</c:v>
                </c:pt>
              </c:numCache>
            </c:numRef>
          </c:cat>
          <c:val>
            <c:numRef>
              <c:f>'1842-1888'!$AB$510:$AB$512</c:f>
              <c:numCache>
                <c:formatCode>General</c:formatCode>
                <c:ptCount val="3"/>
                <c:pt idx="0">
                  <c:v>1312641</c:v>
                </c:pt>
                <c:pt idx="1">
                  <c:v>1312641</c:v>
                </c:pt>
                <c:pt idx="2">
                  <c:v>1312641</c:v>
                </c:pt>
              </c:numCache>
            </c:numRef>
          </c:val>
        </c:ser>
        <c:ser>
          <c:idx val="5"/>
          <c:order val="4"/>
          <c:tx>
            <c:strRef>
              <c:f>'1842-1888'!$AC$508:$AC$509</c:f>
              <c:strCache>
                <c:ptCount val="1"/>
                <c:pt idx="0">
                  <c:v>1860-1888 Mulheres</c:v>
                </c:pt>
              </c:strCache>
            </c:strRef>
          </c:tx>
          <c:spPr>
            <a:ln w="22225">
              <a:solidFill>
                <a:sysClr val="window" lastClr="FFFFFF">
                  <a:lumMod val="65000"/>
                </a:sysClr>
              </a:solidFill>
              <a:prstDash val="sysDash"/>
            </a:ln>
          </c:spPr>
          <c:marker>
            <c:symbol val="none"/>
          </c:marker>
          <c:cat>
            <c:numRef>
              <c:f>'1842-1888'!$X$510:$X$512</c:f>
              <c:numCache>
                <c:formatCode>General</c:formatCode>
                <c:ptCount val="3"/>
                <c:pt idx="0">
                  <c:v>1860</c:v>
                </c:pt>
                <c:pt idx="1">
                  <c:v>1870</c:v>
                </c:pt>
                <c:pt idx="2">
                  <c:v>1880</c:v>
                </c:pt>
              </c:numCache>
            </c:numRef>
          </c:cat>
          <c:val>
            <c:numRef>
              <c:f>'1842-1888'!$AC$510:$AC$512</c:f>
              <c:numCache>
                <c:formatCode>General</c:formatCode>
                <c:ptCount val="3"/>
                <c:pt idx="0">
                  <c:v>970672</c:v>
                </c:pt>
                <c:pt idx="1">
                  <c:v>970672</c:v>
                </c:pt>
                <c:pt idx="2">
                  <c:v>970672</c:v>
                </c:pt>
              </c:numCache>
            </c:numRef>
          </c:val>
        </c:ser>
        <c:marker val="1"/>
        <c:axId val="178402432"/>
        <c:axId val="178442624"/>
      </c:lineChart>
      <c:catAx>
        <c:axId val="17840243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>
                    <a:latin typeface="Times New Roman" pitchFamily="18" charset="0"/>
                    <a:cs typeface="Times New Roman" pitchFamily="18" charset="0"/>
                  </a:rPr>
                  <a:t>Décadas</a:t>
                </a:r>
              </a:p>
            </c:rich>
          </c:tx>
          <c:layout>
            <c:manualLayout>
              <c:xMode val="edge"/>
              <c:yMode val="edge"/>
              <c:x val="0.44450390303153853"/>
              <c:y val="0.89982728842832471"/>
            </c:manualLayout>
          </c:layout>
        </c:title>
        <c:numFmt formatCode="General" sourceLinked="1"/>
        <c:maj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pt-BR"/>
          </a:p>
        </c:txPr>
        <c:crossAx val="178442624"/>
        <c:crosses val="autoZero"/>
        <c:auto val="1"/>
        <c:lblAlgn val="ctr"/>
        <c:lblOffset val="100"/>
      </c:catAx>
      <c:valAx>
        <c:axId val="178442624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>
                    <a:latin typeface="Times New Roman" pitchFamily="18" charset="0"/>
                    <a:cs typeface="Times New Roman" pitchFamily="18" charset="0"/>
                  </a:rPr>
                  <a:t>Preços médios (em réis)
</a:t>
                </a:r>
              </a:p>
            </c:rich>
          </c:tx>
          <c:layout>
            <c:manualLayout>
              <c:xMode val="edge"/>
              <c:yMode val="edge"/>
              <c:x val="0"/>
              <c:y val="7.5418655569608223E-2"/>
            </c:manualLayout>
          </c:layout>
        </c:title>
        <c:numFmt formatCode="General" sourceLinked="1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pt-BR"/>
          </a:p>
        </c:txPr>
        <c:crossAx val="178402432"/>
        <c:crosses val="autoZero"/>
        <c:crossBetween val="between"/>
      </c:valAx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13441395068334921"/>
          <c:y val="2.2112050808463812E-3"/>
          <c:w val="0.85177398941637161"/>
          <c:h val="0.12322607822170425"/>
        </c:manualLayout>
      </c:layout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pt-BR"/>
        </a:p>
      </c:txPr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1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25114314885791961"/>
          <c:y val="5.0533292277012871E-2"/>
          <c:w val="0.53093424421743618"/>
          <c:h val="0.87381691813662954"/>
        </c:manualLayout>
      </c:layout>
      <c:radarChart>
        <c:radarStyle val="marker"/>
        <c:ser>
          <c:idx val="0"/>
          <c:order val="0"/>
          <c:marker>
            <c:symbol val="none"/>
          </c:marker>
          <c:cat>
            <c:strRef>
              <c:f>Plan1!$A$126:$AG$126</c:f>
              <c:strCache>
                <c:ptCount val="33"/>
                <c:pt idx="0">
                  <c:v>1 - Entre Rios </c:v>
                </c:pt>
                <c:pt idx="1">
                  <c:v>1 - Queluz</c:v>
                </c:pt>
                <c:pt idx="2">
                  <c:v>1 - Sabará</c:v>
                </c:pt>
                <c:pt idx="3">
                  <c:v>1 - Ouro Preto</c:v>
                </c:pt>
                <c:pt idx="4">
                  <c:v>1 - Mariana</c:v>
                </c:pt>
                <c:pt idx="5">
                  <c:v>2 - Pará</c:v>
                </c:pt>
                <c:pt idx="6">
                  <c:v>2 - Oliveira</c:v>
                </c:pt>
                <c:pt idx="7">
                  <c:v>2 - São José del Rey</c:v>
                </c:pt>
                <c:pt idx="8">
                  <c:v>2 - Bom Sucesso</c:v>
                </c:pt>
                <c:pt idx="9">
                  <c:v>2 - Formiga</c:v>
                </c:pt>
                <c:pt idx="10">
                  <c:v>3 - Santa Luzia</c:v>
                </c:pt>
                <c:pt idx="11">
                  <c:v>3 - Curvelo</c:v>
                </c:pt>
                <c:pt idx="12">
                  <c:v>4 - São João del Rey</c:v>
                </c:pt>
                <c:pt idx="13">
                  <c:v>4 - Barbacena</c:v>
                </c:pt>
                <c:pt idx="14">
                  <c:v>5 - Lavras do Funil</c:v>
                </c:pt>
                <c:pt idx="15">
                  <c:v>5 - Três Pontas</c:v>
                </c:pt>
                <c:pt idx="16">
                  <c:v>5 - Campanha</c:v>
                </c:pt>
                <c:pt idx="17">
                  <c:v>6 - Alfenas</c:v>
                </c:pt>
                <c:pt idx="18">
                  <c:v>7 - Pomba</c:v>
                </c:pt>
                <c:pt idx="19">
                  <c:v>7 - Juiz de Fora</c:v>
                </c:pt>
                <c:pt idx="20">
                  <c:v>7 - Muriaé</c:v>
                </c:pt>
                <c:pt idx="21">
                  <c:v>7 - Leopoldina</c:v>
                </c:pt>
                <c:pt idx="22">
                  <c:v>7 - Rio Preto</c:v>
                </c:pt>
                <c:pt idx="23">
                  <c:v>8 - São Francisco das Chagas</c:v>
                </c:pt>
                <c:pt idx="24">
                  <c:v>8 - Carmo</c:v>
                </c:pt>
                <c:pt idx="25">
                  <c:v>8 - Patrocínio</c:v>
                </c:pt>
                <c:pt idx="26">
                  <c:v>8 - Bagagem </c:v>
                </c:pt>
                <c:pt idx="27">
                  <c:v>9 - Montes Claros</c:v>
                </c:pt>
                <c:pt idx="28">
                  <c:v>10 - Prata</c:v>
                </c:pt>
                <c:pt idx="29">
                  <c:v>11 - Cantagalo</c:v>
                </c:pt>
                <c:pt idx="30">
                  <c:v>11 - Corte</c:v>
                </c:pt>
                <c:pt idx="31">
                  <c:v>11 - São Fidélis</c:v>
                </c:pt>
                <c:pt idx="32">
                  <c:v>11 - Santa Maria Magdalena</c:v>
                </c:pt>
              </c:strCache>
            </c:strRef>
          </c:cat>
          <c:val>
            <c:numRef>
              <c:f>Plan1!$A$127:$AG$127</c:f>
              <c:numCache>
                <c:formatCode>General</c:formatCode>
                <c:ptCount val="33"/>
                <c:pt idx="0">
                  <c:v>55</c:v>
                </c:pt>
                <c:pt idx="1">
                  <c:v>95</c:v>
                </c:pt>
                <c:pt idx="2">
                  <c:v>112</c:v>
                </c:pt>
                <c:pt idx="3">
                  <c:v>121</c:v>
                </c:pt>
                <c:pt idx="4">
                  <c:v>142</c:v>
                </c:pt>
                <c:pt idx="5">
                  <c:v>92</c:v>
                </c:pt>
                <c:pt idx="6">
                  <c:v>97</c:v>
                </c:pt>
                <c:pt idx="7">
                  <c:v>129</c:v>
                </c:pt>
                <c:pt idx="8">
                  <c:v>141</c:v>
                </c:pt>
                <c:pt idx="9">
                  <c:v>185</c:v>
                </c:pt>
                <c:pt idx="10">
                  <c:v>117</c:v>
                </c:pt>
                <c:pt idx="11">
                  <c:v>231</c:v>
                </c:pt>
                <c:pt idx="12">
                  <c:v>124</c:v>
                </c:pt>
                <c:pt idx="13">
                  <c:v>166</c:v>
                </c:pt>
                <c:pt idx="14">
                  <c:v>176</c:v>
                </c:pt>
                <c:pt idx="15">
                  <c:v>229</c:v>
                </c:pt>
                <c:pt idx="16">
                  <c:v>256</c:v>
                </c:pt>
                <c:pt idx="17">
                  <c:v>281</c:v>
                </c:pt>
                <c:pt idx="18">
                  <c:v>237</c:v>
                </c:pt>
                <c:pt idx="19">
                  <c:v>269</c:v>
                </c:pt>
                <c:pt idx="20">
                  <c:v>306</c:v>
                </c:pt>
                <c:pt idx="21">
                  <c:v>316</c:v>
                </c:pt>
                <c:pt idx="22">
                  <c:v>321</c:v>
                </c:pt>
                <c:pt idx="23">
                  <c:v>326</c:v>
                </c:pt>
                <c:pt idx="24">
                  <c:v>353</c:v>
                </c:pt>
                <c:pt idx="25">
                  <c:v>420</c:v>
                </c:pt>
                <c:pt idx="26">
                  <c:v>512</c:v>
                </c:pt>
                <c:pt idx="27">
                  <c:v>492</c:v>
                </c:pt>
                <c:pt idx="28">
                  <c:v>628</c:v>
                </c:pt>
                <c:pt idx="29">
                  <c:v>425</c:v>
                </c:pt>
                <c:pt idx="30">
                  <c:v>436</c:v>
                </c:pt>
                <c:pt idx="31">
                  <c:v>452</c:v>
                </c:pt>
                <c:pt idx="32">
                  <c:v>472</c:v>
                </c:pt>
              </c:numCache>
            </c:numRef>
          </c:val>
        </c:ser>
        <c:axId val="178735744"/>
        <c:axId val="178750208"/>
      </c:radarChart>
      <c:catAx>
        <c:axId val="178735744"/>
        <c:scaling>
          <c:orientation val="minMax"/>
        </c:scaling>
        <c:axPos val="b"/>
        <c:majorGridlines/>
        <c:tickLblPos val="nextTo"/>
        <c:txPr>
          <a:bodyPr/>
          <a:lstStyle/>
          <a:p>
            <a:pPr>
              <a:defRPr sz="800">
                <a:latin typeface="Garamond" pitchFamily="18" charset="0"/>
                <a:cs typeface="Times New Roman" pitchFamily="18" charset="0"/>
              </a:defRPr>
            </a:pPr>
            <a:endParaRPr lang="pt-BR"/>
          </a:p>
        </c:txPr>
        <c:crossAx val="178750208"/>
        <c:crosses val="autoZero"/>
        <c:auto val="1"/>
        <c:lblAlgn val="ctr"/>
        <c:lblOffset val="100"/>
      </c:catAx>
      <c:valAx>
        <c:axId val="178750208"/>
        <c:scaling>
          <c:orientation val="minMax"/>
        </c:scaling>
        <c:axPos val="l"/>
        <c:majorGridlines/>
        <c:numFmt formatCode="General" sourceLinked="1"/>
        <c:majorTickMark val="cross"/>
        <c:tickLblPos val="nextTo"/>
        <c:txPr>
          <a:bodyPr/>
          <a:lstStyle/>
          <a:p>
            <a:pPr>
              <a:defRPr sz="800">
                <a:latin typeface="Garamond" pitchFamily="18" charset="0"/>
                <a:cs typeface="Times New Roman" pitchFamily="18" charset="0"/>
              </a:defRPr>
            </a:pPr>
            <a:endParaRPr lang="pt-BR"/>
          </a:p>
        </c:txPr>
        <c:crossAx val="178735744"/>
        <c:crosses val="autoZero"/>
        <c:crossBetween val="between"/>
      </c:valAx>
    </c:plotArea>
    <c:plotVisOnly val="1"/>
  </c:chart>
  <c:spPr>
    <a:ln>
      <a:noFill/>
    </a:ln>
  </c:spPr>
  <c:externalData r:id="rId2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525293-E669-4235-B13E-F119606F9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753</Words>
  <Characters>4069</Characters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2017-12-28T20:07:00Z</dcterms:created>
  <dcterms:modified xsi:type="dcterms:W3CDTF">2017-12-28T21:10:00Z</dcterms:modified>
</cp:coreProperties>
</file>