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Garamond" w:cs="Garamond" w:eastAsia="Garamond" w:hAnsi="Garamond"/>
          <w:b w:val="1"/>
          <w:bCs w:val="1"/>
          <w:sz w:val="40"/>
          <w:szCs w:val="40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40"/>
          <w:szCs w:val="40"/>
          <w:rtl w:val="0"/>
        </w:rPr>
        <w:t xml:space="preserve">O tempo sem conclusão: uma leitura de </w:t>
      </w:r>
      <w:r w:rsidDel="00000000" w:rsidR="00000000" w:rsidRPr="00000000">
        <w:rPr>
          <w:rFonts w:ascii="Garamond" w:cs="Garamond" w:eastAsia="Garamond" w:hAnsi="Garamond"/>
          <w:b w:val="1"/>
          <w:bCs w:val="1"/>
          <w:i w:val="1"/>
          <w:iCs w:val="1"/>
          <w:sz w:val="40"/>
          <w:szCs w:val="40"/>
          <w:rtl w:val="0"/>
        </w:rPr>
        <w:t xml:space="preserve">Favor fechar os olhos</w:t>
      </w:r>
      <w:r w:rsidDel="00000000" w:rsidR="00000000" w:rsidRPr="00000000">
        <w:rPr>
          <w:rFonts w:ascii="Garamond" w:cs="Garamond" w:eastAsia="Garamond" w:hAnsi="Garamond"/>
          <w:b w:val="1"/>
          <w:bCs w:val="1"/>
          <w:sz w:val="40"/>
          <w:szCs w:val="40"/>
          <w:rtl w:val="0"/>
        </w:rPr>
        <w:t xml:space="preserve">, de Byung-Chul Han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Garamond" w:cs="Garamond" w:eastAsia="Garamond" w:hAnsi="Garamond"/>
          <w:color w:val="cccccc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Garamond" w:cs="Garamond" w:eastAsia="Garamond" w:hAnsi="Garamond"/>
          <w:b w:val="1"/>
          <w:bCs w:val="1"/>
          <w:sz w:val="32"/>
          <w:szCs w:val="32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32"/>
          <w:szCs w:val="32"/>
          <w:rtl w:val="0"/>
        </w:rPr>
        <w:t xml:space="preserve">HAN, Byung-Chul. Favor fechar os olhos: em busca de um outro tempo. 2ª ed. Tradução de Rafael Zambonelli. Petrópolis: Vozes, 2024.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Garamond" w:cs="Garamond" w:eastAsia="Garamond" w:hAnsi="Garamond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after="0" w:before="0" w:line="240" w:lineRule="auto"/>
        <w:ind w:left="160" w:firstLine="0"/>
        <w:jc w:val="right"/>
        <w:rPr>
          <w:rFonts w:ascii="Garamond" w:cs="Garamond" w:eastAsia="Garamond" w:hAnsi="Garamond"/>
          <w:b w:val="1"/>
          <w:bCs w:val="1"/>
          <w:color w:val="000000"/>
          <w:sz w:val="24"/>
          <w:szCs w:val="24"/>
        </w:rPr>
      </w:pPr>
      <w:bookmarkStart w:colFirst="0" w:colLast="0" w:name="_heading=h.70k89hmhjiys" w:id="0"/>
      <w:bookmarkEnd w:id="0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4"/>
          <w:szCs w:val="24"/>
          <w:rtl w:val="0"/>
        </w:rPr>
        <w:t xml:space="preserve">Daniel Longhini Vicençoni</w:t>
      </w:r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Doutorado em História</w:t>
      </w:r>
    </w:p>
    <w:p w:rsidR="00000000" w:rsidDel="00000000" w:rsidP="00000000" w:rsidRDefault="00000000" w:rsidRPr="00000000" w14:paraId="00000007">
      <w:pPr>
        <w:spacing w:after="0" w:before="0" w:line="240" w:lineRule="auto"/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Universidade Estadual de Maringá (UEM)</w:t>
      </w:r>
    </w:p>
    <w:p w:rsidR="00000000" w:rsidDel="00000000" w:rsidP="00000000" w:rsidRDefault="00000000" w:rsidRPr="00000000" w14:paraId="00000008">
      <w:pPr>
        <w:spacing w:after="0" w:before="0" w:line="240" w:lineRule="auto"/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daniel.longhini97@gmail.com</w:t>
      </w:r>
    </w:p>
    <w:p w:rsidR="00000000" w:rsidDel="00000000" w:rsidP="00000000" w:rsidRDefault="00000000" w:rsidRPr="00000000" w14:paraId="00000009">
      <w:pPr>
        <w:spacing w:after="0" w:before="0" w:line="240" w:lineRule="auto"/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after="0" w:before="0" w:line="240" w:lineRule="auto"/>
        <w:ind w:left="160" w:firstLine="0"/>
        <w:jc w:val="right"/>
        <w:rPr>
          <w:rFonts w:ascii="Garamond" w:cs="Garamond" w:eastAsia="Garamond" w:hAnsi="Garamond"/>
          <w:b w:val="1"/>
          <w:bCs w:val="1"/>
          <w:color w:val="000000"/>
          <w:sz w:val="24"/>
          <w:szCs w:val="24"/>
        </w:rPr>
      </w:pPr>
      <w:bookmarkStart w:colFirst="0" w:colLast="0" w:name="_heading=h.tnhyte9h4g6d" w:id="1"/>
      <w:bookmarkEnd w:id="1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4"/>
          <w:szCs w:val="24"/>
          <w:rtl w:val="0"/>
        </w:rPr>
        <w:t xml:space="preserve">Jaqueline Thais de Souza</w:t>
      </w:r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Mestranda em Filosofia</w:t>
      </w:r>
    </w:p>
    <w:p w:rsidR="00000000" w:rsidDel="00000000" w:rsidP="00000000" w:rsidRDefault="00000000" w:rsidRPr="00000000" w14:paraId="0000000C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Universidade Estadual do Oeste do Paraná (UNIOESTE)</w:t>
      </w:r>
    </w:p>
    <w:p w:rsidR="00000000" w:rsidDel="00000000" w:rsidP="00000000" w:rsidRDefault="00000000" w:rsidRPr="00000000" w14:paraId="0000000D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jaqueline.th.souza@hotmail.com</w:t>
      </w:r>
    </w:p>
    <w:p w:rsidR="00000000" w:rsidDel="00000000" w:rsidP="00000000" w:rsidRDefault="00000000" w:rsidRPr="00000000" w14:paraId="0000000E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after="0" w:before="0" w:line="240" w:lineRule="auto"/>
        <w:ind w:left="160" w:firstLine="0"/>
        <w:jc w:val="right"/>
        <w:rPr>
          <w:rFonts w:ascii="Garamond" w:cs="Garamond" w:eastAsia="Garamond" w:hAnsi="Garamond"/>
          <w:b w:val="1"/>
          <w:bCs w:val="1"/>
          <w:color w:val="000000"/>
          <w:sz w:val="24"/>
          <w:szCs w:val="24"/>
        </w:rPr>
      </w:pPr>
      <w:bookmarkStart w:colFirst="0" w:colLast="0" w:name="_heading=h.2l2uwoylarzh" w:id="2"/>
      <w:bookmarkEnd w:id="2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4"/>
          <w:szCs w:val="24"/>
          <w:rtl w:val="0"/>
        </w:rPr>
        <w:t xml:space="preserve">José Francisco de Assis Dias</w:t>
      </w:r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Doutorado em Filosofia</w:t>
      </w:r>
    </w:p>
    <w:p w:rsidR="00000000" w:rsidDel="00000000" w:rsidP="00000000" w:rsidRDefault="00000000" w:rsidRPr="00000000" w14:paraId="00000011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Pontifícia Universidade Urbaniana (PUU)</w:t>
      </w:r>
    </w:p>
    <w:p w:rsidR="00000000" w:rsidDel="00000000" w:rsidP="00000000" w:rsidRDefault="00000000" w:rsidRPr="00000000" w14:paraId="00000012">
      <w:pPr>
        <w:jc w:val="right"/>
        <w:rPr>
          <w:rFonts w:ascii="Garamond" w:cs="Garamond" w:eastAsia="Garamond" w:hAnsi="Garamond"/>
        </w:rPr>
      </w:pPr>
      <w:r w:rsidDel="00000000" w:rsidR="00000000" w:rsidRPr="00000000">
        <w:rPr>
          <w:rFonts w:ascii="Garamond" w:cs="Garamond" w:eastAsia="Garamond" w:hAnsi="Garamond"/>
          <w:rtl w:val="0"/>
        </w:rPr>
        <w:t xml:space="preserve">jose.dias5@unioeste.br</w:t>
      </w:r>
    </w:p>
    <w:p w:rsidR="00000000" w:rsidDel="00000000" w:rsidP="00000000" w:rsidRDefault="00000000" w:rsidRPr="00000000" w14:paraId="00000013">
      <w:pPr>
        <w:spacing w:after="120" w:line="240" w:lineRule="auto"/>
        <w:ind w:left="0" w:firstLine="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="240" w:lineRule="auto"/>
        <w:ind w:left="0" w:firstLine="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Recebido: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10</w:t>
      </w:r>
      <w:r w:rsidDel="00000000" w:rsidR="00000000" w:rsidRPr="00000000">
        <w:rPr>
          <w:rFonts w:ascii="Georgia" w:cs="Georgia" w:eastAsia="Georgia" w:hAnsi="Georgia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06</w:t>
      </w:r>
      <w:r w:rsidDel="00000000" w:rsidR="00000000" w:rsidRPr="00000000">
        <w:rPr>
          <w:rFonts w:ascii="Georgia" w:cs="Georgia" w:eastAsia="Georgia" w:hAnsi="Georgia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2026</w:t>
      </w:r>
    </w:p>
    <w:p w:rsidR="00000000" w:rsidDel="00000000" w:rsidP="00000000" w:rsidRDefault="00000000" w:rsidRPr="00000000" w14:paraId="00000015">
      <w:pPr>
        <w:spacing w:after="0" w:line="240" w:lineRule="auto"/>
        <w:ind w:left="0" w:firstLine="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Aprovado: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31</w:t>
      </w:r>
      <w:r w:rsidDel="00000000" w:rsidR="00000000" w:rsidRPr="00000000">
        <w:rPr>
          <w:rFonts w:ascii="Georgia" w:cs="Georgia" w:eastAsia="Georgia" w:hAnsi="Georgia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08</w:t>
      </w:r>
      <w:r w:rsidDel="00000000" w:rsidR="00000000" w:rsidRPr="00000000">
        <w:rPr>
          <w:rFonts w:ascii="Georgia" w:cs="Georgia" w:eastAsia="Georgia" w:hAnsi="Georgia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2026</w:t>
      </w:r>
    </w:p>
    <w:p w:rsidR="00000000" w:rsidDel="00000000" w:rsidP="00000000" w:rsidRDefault="00000000" w:rsidRPr="00000000" w14:paraId="00000016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Publicado originalmente em 2013, em Berlim, sob o título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Bitte Augen schließen: Auf der Suche nach einer anderen Zeit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pela Matthes &amp; Seitz Berlin,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Favor fechar os olhos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não constitui uma obra inaugural de Byung-Chul Han, mas um breve ensaio situado em uma etapa já consolidada de sua produção. Ele retoma problemas centrais de sua crítica ao tempo presente: a perda da duração, o predomínio da informação e da vigilância, a erosão do silêncio e a dificuldade contemporânea de experimentar um “tempo do outro”. A tradução brasileira, de Lucas Machado, foi publicada pela Vozes em 2021. A resenha presente refere-se à segunda edição do livro, com tradução de Rafael Zambonelli, publicada em 2024 também pela editora Vozes.</w:t>
      </w:r>
    </w:p>
    <w:p w:rsidR="00000000" w:rsidDel="00000000" w:rsidP="00000000" w:rsidRDefault="00000000" w:rsidRPr="00000000" w14:paraId="00000018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Byung-Chul Han nasceu na Coreia do Sul, mas se fixou na Alemanha, onde estudou Filosofia na Universidade de Friburgo e Literatura Alemã e Teologia na Universidade de Munique. Em 1994, terminou seu doutorado em Friburgo, ao defender uma tese sobre Martin Heidegger. Atualmente, é professor de Filosofia e Estudos Culturais na Universidade de Berlim (Han, 2024a).</w:t>
      </w:r>
    </w:p>
    <w:p w:rsidR="00000000" w:rsidDel="00000000" w:rsidP="00000000" w:rsidRDefault="00000000" w:rsidRPr="00000000" w14:paraId="00000019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 tradutor Rafael Zambonelli é formado e mestre em Filosofia pela Universidade de São Paulo, com estudos voltados à fenomenologia, à filosofia da natureza e à história da filosofia. Sua atuação como tradutor de obras filosóficas, incluindo outros títulos de Byung-Chul Han, confere especial interesse à edição de 2024 de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Favor fechar os olhos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pois sua tradução e seu posfácio participam da mediação conceitual da obra para o público brasileiro.</w:t>
      </w:r>
    </w:p>
    <w:p w:rsidR="00000000" w:rsidDel="00000000" w:rsidP="00000000" w:rsidRDefault="00000000" w:rsidRPr="00000000" w14:paraId="0000001A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Favor fechar os olhos: em busca de um outro tempo,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configura-se como um breve ensaio filosófico. A obra está organizada em cinco capítulos concisos, sendo eles: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tempo do silêncio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bom tempo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tempo da festa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tempo do outro 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e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Intempestivamente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. Porém, não há o desenvolvimento de uma teoria sistemática do tempo, mas, sim, uma reflexão fragmentária e conceitual sobre sua experiência no presente. </w:t>
      </w:r>
    </w:p>
    <w:p w:rsidR="00000000" w:rsidDel="00000000" w:rsidP="00000000" w:rsidRDefault="00000000" w:rsidRPr="00000000" w14:paraId="0000001B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No capítulo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tempo do silêncio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o autor faz uma discussão sobre a necessidade humana de conclusão: “Uma conclusão se dá quando o início e o fim de um processo formam um nexo dotado de sentido, quando eles se engrenam. Assim, a narração é uma conclusão. Em razão de sua conclusão, ela produz sentido” (Han, 2024a, p. 12). A conclusão não é resultado dos grandes momentos; antes disso, está presente no dia e noite, no dormir e acordar. Encerramos o dia, para iniciarmos o próximo.</w:t>
      </w:r>
    </w:p>
    <w:p w:rsidR="00000000" w:rsidDel="00000000" w:rsidP="00000000" w:rsidRDefault="00000000" w:rsidRPr="00000000" w14:paraId="0000001C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A questão levantada por Byung-Chul Han, no primeiro capítulo, reside na demonstração de um contrassenso contemporâneo: existe uma necessidade ontológica de encerramento ou conclusão, entretanto, “hoje, a percepção é incapaz de conclusão, pois ela zapeia através da rede digital infinita. A mudança veloz de uma imagem à outra torna impossível fechar os olhos” (Han, 2024a, p. 16). </w:t>
      </w:r>
    </w:p>
    <w:p w:rsidR="00000000" w:rsidDel="00000000" w:rsidP="00000000" w:rsidRDefault="00000000" w:rsidRPr="00000000" w14:paraId="0000001D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 segundo capítulo,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bom tempo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apresenta uma discussão interessante sobre a memória. Se antes, os registros da humanidade estavam preservados na própria memória humana, hoje, o seu conteúdo está inserido, tão somente, no computador. Em aparência, o mal de tal fato reside na nossa atual incapacidade de guardarmos para nós as nossas próprias memórias, mas, para o autor, a centralidade da discussão é outra: a memória computacional não tem início e nem conclusão e, portanto, “a memória está se tornando uma pilha de lixo e dados” (Han, 2024a, p. 22).</w:t>
      </w:r>
    </w:p>
    <w:p w:rsidR="00000000" w:rsidDel="00000000" w:rsidP="00000000" w:rsidRDefault="00000000" w:rsidRPr="00000000" w14:paraId="0000001E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E, talvez, o cerne da discussão esteja no terceiro capítulo,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tempo da festa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. Nos dias atuais, o envelhecimento se tornou cada vez mais rápido. Tudo caduca. E isso é resultado da constante aceleração na qual estamos inseridos. Como tudo muda de forma tão brusca, não há mais espaço para as conclusões.</w:t>
      </w:r>
    </w:p>
    <w:p w:rsidR="00000000" w:rsidDel="00000000" w:rsidP="00000000" w:rsidRDefault="00000000" w:rsidRPr="00000000" w14:paraId="0000001F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Por isso, Byung-Chul Han defende que uma pessoa depressiva é incapaz de conclusão. Não se trata de uma desqualificação das questões psíquicas, ao contrário, é uma busca de compreender as origens dos efeitos psíquicos: “A depressão é característica de um tempo em que se perdeu a capacidade de concluir e de encerrar. O pensamento também pressupõe a capacidade de concluir, de parar e demorar-se. [...] assim, o pensamento não pode ser acelerado à vontade” (Han, 2024a, p. 31).</w:t>
      </w:r>
    </w:p>
    <w:p w:rsidR="00000000" w:rsidDel="00000000" w:rsidP="00000000" w:rsidRDefault="00000000" w:rsidRPr="00000000" w14:paraId="00000020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 mundo contemporâneo forjou o “sujeito do desempenho”. Por corresponder a constante necessidade de produzir, o ser humano se esvaziou de sentido. A busca desenfreada pelos resultados, retirou a morte da humanidade: “E, em um mundo onde a conclusão e o encerramento cederam a uma continuação infinita e sem direção, não é possível morrer, pois a morte também pressupõe a capacidade de encerrar a vida” (Han, 2024a, p. 32). </w:t>
      </w:r>
    </w:p>
    <w:p w:rsidR="00000000" w:rsidDel="00000000" w:rsidP="00000000" w:rsidRDefault="00000000" w:rsidRPr="00000000" w14:paraId="00000021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Se no passado existia a distinção entre o tempo do trabalho e o tempo da vida, hoje, essa separação deixou de existir: “O tempo do trabalho se totalizou de modo a tornar-se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tempo” (Han, 2024a, p. 35). Dessa forma, não concluímos o dia, pois nossas atenções estão sempre voltadas para o próximo dia, o próximo trabalho e a próxima demanda. </w:t>
      </w:r>
    </w:p>
    <w:p w:rsidR="00000000" w:rsidDel="00000000" w:rsidP="00000000" w:rsidRDefault="00000000" w:rsidRPr="00000000" w14:paraId="00000022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A constante necessidade de produzir tem adoecido. Mesmo longe do trabalho, continuamos a trabalhar. Os celulares e as redes sociais se esforçam para lembrar-nos do ofício, seja pelos grupos, fotos, mensagens e alertas constantes. Assim, o descanso torna-se uma passagem rápida que não permite ser concluída. O encerramento do dia, embora necessário, desaparece. </w:t>
      </w:r>
    </w:p>
    <w:p w:rsidR="00000000" w:rsidDel="00000000" w:rsidP="00000000" w:rsidRDefault="00000000" w:rsidRPr="00000000" w14:paraId="00000023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Para indicar um outro caminho para a humanidade, Byung-Chul Han, no capítulo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O tempo do outro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defende a existência de dois tempos: o “tempo do eu” e o “tempo do outro”. Enquanto o primeiro refere-se ao tempo que se isola e se individualiza, o segundo é uma dádiva, que não pode ser acelerado e nem caracterizado pelo desempenho e pelo trabalho. Porém, “a política temporal do neoliberalismo abole o tempo do outro, pois ele não é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eficiente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” (Han, 2024a, p. 45).</w:t>
      </w:r>
    </w:p>
    <w:p w:rsidR="00000000" w:rsidDel="00000000" w:rsidP="00000000" w:rsidRDefault="00000000" w:rsidRPr="00000000" w14:paraId="00000024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 tempo que damos ao outro é impossível de ser acelerado e nem pode ser mensurado. Ele é, para o filósofo, a saída do labirinto produtivo que é tão característico das sociedades atuais, marcadas pelos ditames da hiper produtividade: “Somente o tempo do outro liberta o eu narcisista da depressão e da exaustão” (Han, 2024a, p. 45).</w:t>
      </w:r>
    </w:p>
    <w:p w:rsidR="00000000" w:rsidDel="00000000" w:rsidP="00000000" w:rsidRDefault="00000000" w:rsidRPr="00000000" w14:paraId="00000025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No último capítulo, intitulado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Intempestivamente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é o momento do alerta radical do autor. Ao utilizar o exemplo de uma banda de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death metal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que ficou aliviada porque os alto-falantes de um evento queimaram por sobrecarga, o que impediu sua apresentação, Byung-Chul Han indica que o nosso mundo, tão acelerado, caminha para um fim semelhante ao do sistema de som do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show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. Por isso, o mundo terminará de forma abrupta, ou então “de maneira intempestiva e, por fim, catastrófica” (Han, 2024a, p. 50).</w:t>
      </w:r>
    </w:p>
    <w:p w:rsidR="00000000" w:rsidDel="00000000" w:rsidP="00000000" w:rsidRDefault="00000000" w:rsidRPr="00000000" w14:paraId="00000026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Favor fechar os olhos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dialoga estreitamente com o seu principal livro: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Sociedade do cansaço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(2024b), ao retomar a crítica do autor ao sujeito do desempenho e à autoexploração. Contudo, em vez de desenvolver de modo sistemático o diagnóstico das patologias do excesso de positividade, como depressão e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burnout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o breve ensaio desloca a análise para a experiência do tempo: a incapacidade de interromper, concluir, demorar-se e abrir-se à alteridade. </w:t>
      </w:r>
    </w:p>
    <w:p w:rsidR="00000000" w:rsidDel="00000000" w:rsidP="00000000" w:rsidRDefault="00000000" w:rsidRPr="00000000" w14:paraId="00000027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 livro, ainda que curto, traz provocações importantes que dizem respeito à história do tempo presente. O século XXI, marcado pela ascensão das novas tecnologias digitais e das inteligências artificiais generativas, não conseguiu romper com a lógica da superprodução. Existe, atualmente, uma ontologia da produtividade e os seus reflexos são objetivos: sobrecarga mental,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burnout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e adoecimento em massa. Se o tempo do eu persistir, a produção continuará. E, talvez, Byung-Chul Han acerte: o final há de ser catastrófico. </w:t>
      </w:r>
    </w:p>
    <w:p w:rsidR="00000000" w:rsidDel="00000000" w:rsidP="00000000" w:rsidRDefault="00000000" w:rsidRPr="00000000" w14:paraId="00000028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E, por isso, um dos principais méritos do livro é o de converter em imagens filosóficas mal-estares contemporâneos, a exemplo da conexão contínua, da exaustão e da dificuldade de interromper o trabalho. Entretanto, é importante destacar a limitação do ensaio: há uma certa generalização de experiências subjetivas e sociais muito distintas quando relacionadas ao contexto do avanço das tecnologias digitais. Por isso, reforça-se que o grande destaque do ensaio é o de apresentar uma intervenção filosófica provocativa, e não uma explicação suficiente da complexidade do tempo presente.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Assim, indicamos a leitura do livro </w:t>
      </w: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Favor fechar os olhos: em busca de um outro tempo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, não por se tratar de um grande tratado filosófico, mas por apresentar reflexões pertinentes sobre o tempo presente e oferecer prognósticos inquietantes sobre o futuro. Desta forma, o leitor interessado analisar com maior profundidade problemas atuais relacionados ao avanço das tecnologias digitais, encontrará na obra de Byung-Chul Han uma referência incômoda e necessária. </w:t>
      </w:r>
    </w:p>
    <w:p w:rsidR="00000000" w:rsidDel="00000000" w:rsidP="00000000" w:rsidRDefault="00000000" w:rsidRPr="00000000" w14:paraId="0000002A">
      <w:pPr>
        <w:spacing w:after="120" w:line="360" w:lineRule="auto"/>
        <w:ind w:firstLine="720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360" w:lineRule="auto"/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Referência bibliográfica:</w:t>
      </w:r>
    </w:p>
    <w:p w:rsidR="00000000" w:rsidDel="00000000" w:rsidP="00000000" w:rsidRDefault="00000000" w:rsidRPr="00000000" w14:paraId="0000002C">
      <w:pPr>
        <w:spacing w:line="240" w:lineRule="auto"/>
        <w:jc w:val="both"/>
        <w:rPr>
          <w:rFonts w:ascii="Garamond" w:cs="Garamond" w:eastAsia="Garamond" w:hAnsi="Garamond"/>
          <w:sz w:val="24"/>
          <w:szCs w:val="24"/>
        </w:rPr>
      </w:pPr>
      <w:bookmarkStart w:colFirst="0" w:colLast="0" w:name="_heading=h.gjdgxs" w:id="3"/>
      <w:bookmarkEnd w:id="3"/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HAN, Byung-Chul. </w:t>
      </w: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Sociedade do cansaço. 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3ª ed. Tradução de Enio Paulo Giachini. Petrópolis: Vozes, 2024.</w:t>
      </w:r>
    </w:p>
    <w:p w:rsidR="00000000" w:rsidDel="00000000" w:rsidP="00000000" w:rsidRDefault="00000000" w:rsidRPr="00000000" w14:paraId="0000002D">
      <w:pPr>
        <w:spacing w:lin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both"/>
        <w:rPr/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HAN, Byung-Chul. </w:t>
      </w: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Favor fechar os olhos: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em busca de um outro tempo. 2ª ed. Tradução de Rafael Zambonelli. Petrópolis: Vozes, 2024.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133" w:top="1700" w:left="1700" w:right="1133" w:header="0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bottom w:color="000000" w:space="9" w:sz="12" w:val="single"/>
      </w:pBdr>
      <w:tabs>
        <w:tab w:val="left" w:leader="none" w:pos="8364"/>
      </w:tabs>
      <w:spacing w:after="120" w:line="240" w:lineRule="auto"/>
      <w:ind w:right="11"/>
      <w:jc w:val="center"/>
      <w:rPr>
        <w:rFonts w:ascii="Garamond" w:cs="Garamond" w:eastAsia="Garamond" w:hAnsi="Garamond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left" w:leader="none" w:pos="8364"/>
      </w:tabs>
      <w:spacing w:after="120" w:line="240" w:lineRule="auto"/>
      <w:ind w:right="11"/>
      <w:jc w:val="center"/>
      <w:rPr>
        <w:rFonts w:ascii="Garamond" w:cs="Garamond" w:eastAsia="Garamond" w:hAnsi="Garamond"/>
        <w:sz w:val="20"/>
        <w:szCs w:val="20"/>
      </w:rPr>
    </w:pPr>
    <w:r w:rsidDel="00000000" w:rsidR="00000000" w:rsidRPr="00000000">
      <w:rPr>
        <w:rFonts w:ascii="Garamond" w:cs="Garamond" w:eastAsia="Garamond" w:hAnsi="Garamond"/>
        <w:sz w:val="20"/>
        <w:szCs w:val="20"/>
        <w:rtl w:val="0"/>
      </w:rPr>
      <w:t xml:space="preserve">Temporalidades, Belo Horizonte, ISSN 1984-6150 – v. 18, n. 1 (2026): Edição 47</w:t>
    </w:r>
  </w:p>
  <w:p w:rsidR="00000000" w:rsidDel="00000000" w:rsidP="00000000" w:rsidRDefault="00000000" w:rsidRPr="00000000" w14:paraId="00000035">
    <w:pPr>
      <w:tabs>
        <w:tab w:val="left" w:leader="none" w:pos="8364"/>
      </w:tabs>
      <w:spacing w:after="120" w:line="240" w:lineRule="auto"/>
      <w:ind w:right="11"/>
      <w:jc w:val="right"/>
      <w:rPr>
        <w:rFonts w:ascii="Garamond" w:cs="Garamond" w:eastAsia="Garamond" w:hAnsi="Garamond"/>
        <w:sz w:val="20"/>
        <w:szCs w:val="20"/>
      </w:rPr>
    </w:pPr>
    <w:r w:rsidDel="00000000" w:rsidR="00000000" w:rsidRPr="00000000">
      <w:rPr>
        <w:rFonts w:ascii="Garamond" w:cs="Garamond" w:eastAsia="Garamond" w:hAnsi="Garamond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2F">
      <w:pPr>
        <w:spacing w:line="240" w:lineRule="auto"/>
        <w:jc w:val="both"/>
        <w:rPr>
          <w:rFonts w:ascii="Garamond" w:cs="Garamond" w:eastAsia="Garamond" w:hAnsi="Garamond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Garamond" w:cs="Garamond" w:eastAsia="Garamond" w:hAnsi="Garamond"/>
          <w:sz w:val="20"/>
          <w:szCs w:val="20"/>
          <w:rtl w:val="0"/>
        </w:rPr>
        <w:t xml:space="preserve">Professor adjunto temporário na Universidade Estadual de Maringá, lotado no Departamento de Pedagogia, campus regional de Cianorte. Participa do Grupo de Pesquisa Sobre Política, Religião e Educação na Modernidade (UEM), do Grupo NeoKrisis (UNIOESTE) e do Grupo AlfaLab Laboratório de Estudo, Pesquisa e Formação Docente em Alfabetização.</w:t>
      </w:r>
    </w:p>
  </w:footnote>
  <w:footnote w:id="1">
    <w:p w:rsidR="00000000" w:rsidDel="00000000" w:rsidP="00000000" w:rsidRDefault="00000000" w:rsidRPr="00000000" w14:paraId="00000030">
      <w:pPr>
        <w:spacing w:line="240" w:lineRule="auto"/>
        <w:jc w:val="both"/>
        <w:rPr>
          <w:rFonts w:ascii="Garamond" w:cs="Garamond" w:eastAsia="Garamond" w:hAnsi="Garamond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Garamond" w:cs="Garamond" w:eastAsia="Garamond" w:hAnsi="Garamond"/>
          <w:sz w:val="20"/>
          <w:szCs w:val="20"/>
          <w:rtl w:val="0"/>
        </w:rPr>
        <w:t xml:space="preserve">Bolsista da Coordenação de Aperfeiçoamento de Pessoal de Nível Superior (Capes) Brasil e integrante do Grupo de Pesquisa Crisis - UNIOESTE.</w:t>
      </w:r>
    </w:p>
  </w:footnote>
  <w:footnote w:id="2"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Garamond" w:cs="Garamond" w:eastAsia="Garamond" w:hAnsi="Garamond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Garamond" w:cs="Garamond" w:eastAsia="Garamond" w:hAnsi="Garamond"/>
          <w:sz w:val="20"/>
          <w:szCs w:val="20"/>
          <w:rtl w:val="0"/>
        </w:rPr>
        <w:t xml:space="preserve">Professor associado ''A'' da UNIOESTE, no Campus de Toledo-PR, onde foi Coordenador do curso de Licenciatura em Filosofia. Líder do grupo de pesquisa NeoKrísis da UNIOESTE, CCHS - Campus Toledo/PR. Editor-chefe da Revista NeoKrísis, vinculada ao GP NeoKrísis da UNIOESTE.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-1700" w:firstLine="0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7853620" cy="1054716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853620" cy="105471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9A05E7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9A05E7"/>
  </w:style>
  <w:style w:type="paragraph" w:styleId="Rodap">
    <w:name w:val="footer"/>
    <w:basedOn w:val="Normal"/>
    <w:link w:val="RodapChar"/>
    <w:uiPriority w:val="99"/>
    <w:unhideWhenUsed w:val="1"/>
    <w:rsid w:val="009A05E7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9A05E7"/>
  </w:style>
  <w:style w:type="paragraph" w:styleId="Reviso">
    <w:name w:val="Revision"/>
    <w:hidden w:val="1"/>
    <w:uiPriority w:val="99"/>
    <w:semiHidden w:val="1"/>
    <w:rsid w:val="00EF679B"/>
    <w:pPr>
      <w:spacing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haN2XWopBlCKWKF8ysrKd/kobQ==">CgMxLjAyDmguNzBrODlobWhqaXlzMg5oLnRuaHl0ZTloNGc2ZDIOaC4ybDJ1d295bGFyemgyCGguZ2pkZ3hzOAByITFqNEw5eGZNVDdsd2NFRmo3UUVXMWV5UDB2bW5oRDJwQg==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2026-07-23T16:17:00Z</dcterms:created>
</cp:coreProperties>
</file>